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6A0538" w:rsidP="006A0538">
      <w:pPr>
        <w:tabs>
          <w:tab w:val="center" w:pos="5104"/>
          <w:tab w:val="left" w:pos="8760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C0629"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="001C0629"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EC5A20" w:rsidRDefault="004F06F2" w:rsidP="00EC5A20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4F02EF">
        <w:rPr>
          <w:rFonts w:ascii="Times New Roman" w:eastAsiaTheme="minorEastAsia" w:hAnsi="Times New Roman"/>
          <w:b/>
          <w:sz w:val="30"/>
          <w:szCs w:val="30"/>
        </w:rPr>
        <w:t>изолирующих монолитных муфт</w:t>
      </w:r>
    </w:p>
    <w:p w:rsidR="00F63BF4" w:rsidRDefault="00F63BF4" w:rsidP="00EC5A20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капитального строительства</w:t>
      </w:r>
    </w:p>
    <w:p w:rsidR="00EC5A20" w:rsidRDefault="00EC5A20" w:rsidP="00EC5A20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EC5A20">
        <w:rPr>
          <w:rFonts w:ascii="Times New Roman" w:eastAsiaTheme="minorEastAsia" w:hAnsi="Times New Roman"/>
          <w:b/>
          <w:sz w:val="30"/>
          <w:szCs w:val="30"/>
        </w:rPr>
        <w:t xml:space="preserve">для нужд ОАО </w:t>
      </w:r>
      <w:r>
        <w:rPr>
          <w:rFonts w:ascii="Times New Roman" w:eastAsiaTheme="minorEastAsia" w:hAnsi="Times New Roman"/>
          <w:b/>
          <w:sz w:val="30"/>
          <w:szCs w:val="30"/>
        </w:rPr>
        <w:t>«</w:t>
      </w:r>
      <w:r w:rsidRPr="00EC5A20">
        <w:rPr>
          <w:rFonts w:ascii="Times New Roman" w:eastAsiaTheme="minorEastAsia" w:hAnsi="Times New Roman"/>
          <w:b/>
          <w:sz w:val="30"/>
          <w:szCs w:val="30"/>
        </w:rPr>
        <w:t>Газпром трансгаз Беларусь</w:t>
      </w:r>
      <w:r w:rsidR="006502A2">
        <w:rPr>
          <w:rFonts w:ascii="Times New Roman" w:eastAsiaTheme="minorEastAsia" w:hAnsi="Times New Roman"/>
          <w:b/>
          <w:sz w:val="30"/>
          <w:szCs w:val="30"/>
        </w:rPr>
        <w:t>» в 2022 году.</w:t>
      </w:r>
    </w:p>
    <w:p w:rsidR="0031779E" w:rsidRDefault="0031779E" w:rsidP="00EC5A20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7B76F1">
        <w:rPr>
          <w:rFonts w:ascii="Times New Roman" w:hAnsi="Times New Roman"/>
          <w:sz w:val="30"/>
          <w:szCs w:val="30"/>
        </w:rPr>
        <w:t>ов</w:t>
      </w:r>
      <w:r w:rsidRPr="004F06F2">
        <w:rPr>
          <w:rFonts w:ascii="Times New Roman" w:hAnsi="Times New Roman"/>
          <w:sz w:val="30"/>
          <w:szCs w:val="30"/>
        </w:rPr>
        <w:t xml:space="preserve"> ТЗ </w:t>
      </w:r>
      <w:r w:rsidR="001E342A">
        <w:rPr>
          <w:rFonts w:ascii="Times New Roman" w:hAnsi="Times New Roman"/>
          <w:sz w:val="30"/>
          <w:szCs w:val="30"/>
        </w:rPr>
        <w:t>и ОЛ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6502A2" w:rsidRPr="004F06F2">
        <w:rPr>
          <w:rFonts w:ascii="Times New Roman" w:hAnsi="Times New Roman"/>
          <w:sz w:val="30"/>
          <w:szCs w:val="30"/>
        </w:rPr>
        <w:t>файл</w:t>
      </w:r>
      <w:r w:rsidR="007B76F1">
        <w:rPr>
          <w:rFonts w:ascii="Times New Roman" w:hAnsi="Times New Roman"/>
          <w:sz w:val="30"/>
          <w:szCs w:val="30"/>
        </w:rPr>
        <w:t>ов</w:t>
      </w:r>
      <w:r w:rsidR="006502A2" w:rsidRPr="004F06F2">
        <w:rPr>
          <w:rFonts w:ascii="Times New Roman" w:hAnsi="Times New Roman"/>
          <w:sz w:val="30"/>
          <w:szCs w:val="30"/>
        </w:rPr>
        <w:t xml:space="preserve"> ТЗ </w:t>
      </w:r>
      <w:r w:rsidR="001E342A">
        <w:rPr>
          <w:rFonts w:ascii="Times New Roman" w:hAnsi="Times New Roman"/>
          <w:sz w:val="30"/>
          <w:szCs w:val="30"/>
        </w:rPr>
        <w:t>и ОЛ.</w:t>
      </w:r>
    </w:p>
    <w:p w:rsidR="004F06F2" w:rsidRPr="001E342A" w:rsidRDefault="004F06F2" w:rsidP="0021461F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1E342A">
        <w:rPr>
          <w:rFonts w:ascii="Times New Roman" w:hAnsi="Times New Roman"/>
          <w:sz w:val="30"/>
          <w:szCs w:val="30"/>
        </w:rPr>
        <w:t xml:space="preserve">Требования к гарантийному сроку: </w:t>
      </w:r>
      <w:r w:rsidR="001E342A" w:rsidRPr="001E342A">
        <w:rPr>
          <w:rFonts w:ascii="Times New Roman" w:hAnsi="Times New Roman"/>
          <w:sz w:val="30"/>
          <w:szCs w:val="30"/>
        </w:rPr>
        <w:t>не менее 24 месяцев со дня ввода в эксплуатацию, при условии, что срок хранения не превышает 36 месяцев со дня поступления на склад.</w:t>
      </w:r>
    </w:p>
    <w:p w:rsidR="00D97314" w:rsidRDefault="004F06F2" w:rsidP="007924B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4F06F2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оборудование должно быть новым, не бывшим в употреблении, изготовленным не ранее 202</w:t>
      </w:r>
      <w:r w:rsidR="004F1C44" w:rsidRPr="00D97314">
        <w:rPr>
          <w:rFonts w:ascii="Times New Roman" w:hAnsi="Times New Roman"/>
          <w:sz w:val="30"/>
          <w:szCs w:val="30"/>
        </w:rPr>
        <w:t>1</w:t>
      </w:r>
      <w:r w:rsidRPr="00D97314">
        <w:rPr>
          <w:rFonts w:ascii="Times New Roman" w:hAnsi="Times New Roman"/>
          <w:sz w:val="30"/>
          <w:szCs w:val="30"/>
        </w:rPr>
        <w:t xml:space="preserve"> года;</w:t>
      </w:r>
    </w:p>
    <w:p w:rsidR="004F06F2" w:rsidRPr="004F06F2" w:rsidRDefault="004F06F2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сертификат соответствия Системы добровольной сертификации ИНТЕРГАЗСЕРТ.</w:t>
      </w:r>
    </w:p>
    <w:p w:rsidR="00D3688A" w:rsidRPr="00F21407" w:rsidRDefault="0065360D" w:rsidP="006A0538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6A0538" w:rsidRPr="006A0538">
        <w:rPr>
          <w:rFonts w:ascii="Times New Roman" w:hAnsi="Times New Roman"/>
          <w:sz w:val="30"/>
          <w:szCs w:val="30"/>
        </w:rPr>
        <w:t>19</w:t>
      </w:r>
      <w:r w:rsidR="006A0538">
        <w:rPr>
          <w:rFonts w:ascii="Times New Roman" w:hAnsi="Times New Roman"/>
          <w:sz w:val="30"/>
          <w:szCs w:val="30"/>
          <w:lang w:val="en-US"/>
        </w:rPr>
        <w:t> </w:t>
      </w:r>
      <w:r w:rsidR="006A0538" w:rsidRPr="006A0538">
        <w:rPr>
          <w:rFonts w:ascii="Times New Roman" w:hAnsi="Times New Roman"/>
          <w:sz w:val="30"/>
          <w:szCs w:val="30"/>
        </w:rPr>
        <w:t>573</w:t>
      </w:r>
      <w:r w:rsidR="006A0538">
        <w:rPr>
          <w:rFonts w:ascii="Times New Roman" w:hAnsi="Times New Roman"/>
          <w:sz w:val="30"/>
          <w:szCs w:val="30"/>
          <w:lang w:val="en-US"/>
        </w:rPr>
        <w:t> </w:t>
      </w:r>
      <w:r w:rsidR="006A0538" w:rsidRPr="006A0538">
        <w:rPr>
          <w:rFonts w:ascii="Times New Roman" w:hAnsi="Times New Roman"/>
          <w:sz w:val="30"/>
          <w:szCs w:val="30"/>
        </w:rPr>
        <w:t>546,13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16D7E">
        <w:rPr>
          <w:rFonts w:ascii="Times New Roman" w:hAnsi="Times New Roman"/>
          <w:sz w:val="30"/>
          <w:szCs w:val="30"/>
        </w:rPr>
        <w:t>росс</w:t>
      </w:r>
      <w:r w:rsidR="00EC044B" w:rsidRPr="00F21407">
        <w:rPr>
          <w:rFonts w:ascii="Times New Roman" w:hAnsi="Times New Roman"/>
          <w:sz w:val="30"/>
          <w:szCs w:val="30"/>
        </w:rPr>
        <w:t>. руб. без НДС</w:t>
      </w:r>
      <w:r w:rsidR="006141F7" w:rsidRPr="00F21407">
        <w:rPr>
          <w:rFonts w:ascii="Times New Roman" w:hAnsi="Times New Roman"/>
          <w:sz w:val="30"/>
          <w:szCs w:val="30"/>
        </w:rPr>
        <w:t xml:space="preserve"> (</w:t>
      </w:r>
      <w:r w:rsidR="006A0538" w:rsidRPr="006A0538">
        <w:rPr>
          <w:rFonts w:ascii="Times New Roman" w:hAnsi="Times New Roman"/>
          <w:sz w:val="30"/>
          <w:szCs w:val="30"/>
        </w:rPr>
        <w:t>23</w:t>
      </w:r>
      <w:r w:rsidR="006A0538">
        <w:rPr>
          <w:rFonts w:ascii="Times New Roman" w:hAnsi="Times New Roman"/>
          <w:sz w:val="30"/>
          <w:szCs w:val="30"/>
          <w:lang w:val="en-US"/>
        </w:rPr>
        <w:t> </w:t>
      </w:r>
      <w:r w:rsidR="006A0538" w:rsidRPr="006A0538">
        <w:rPr>
          <w:rFonts w:ascii="Times New Roman" w:hAnsi="Times New Roman"/>
          <w:sz w:val="30"/>
          <w:szCs w:val="30"/>
        </w:rPr>
        <w:t>488</w:t>
      </w:r>
      <w:r w:rsidR="006A0538">
        <w:rPr>
          <w:rFonts w:ascii="Times New Roman" w:hAnsi="Times New Roman"/>
          <w:sz w:val="30"/>
          <w:szCs w:val="30"/>
          <w:lang w:val="en-US"/>
        </w:rPr>
        <w:t> </w:t>
      </w:r>
      <w:r w:rsidR="006A0538" w:rsidRPr="006A0538">
        <w:rPr>
          <w:rFonts w:ascii="Times New Roman" w:hAnsi="Times New Roman"/>
          <w:sz w:val="30"/>
          <w:szCs w:val="30"/>
        </w:rPr>
        <w:t>255,35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16D7E">
        <w:rPr>
          <w:rFonts w:ascii="Times New Roman" w:hAnsi="Times New Roman"/>
          <w:sz w:val="30"/>
          <w:szCs w:val="30"/>
        </w:rPr>
        <w:t>росс</w:t>
      </w:r>
      <w:r w:rsidR="00EC044B" w:rsidRPr="00F21407">
        <w:rPr>
          <w:rFonts w:ascii="Times New Roman" w:hAnsi="Times New Roman"/>
          <w:sz w:val="30"/>
          <w:szCs w:val="30"/>
        </w:rPr>
        <w:t>. руб. с НДС</w:t>
      </w:r>
      <w:r w:rsidR="00316D7E">
        <w:rPr>
          <w:rFonts w:ascii="Times New Roman" w:hAnsi="Times New Roman"/>
          <w:sz w:val="30"/>
          <w:szCs w:val="30"/>
        </w:rPr>
        <w:t xml:space="preserve">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992"/>
        <w:gridCol w:w="1421"/>
        <w:gridCol w:w="1700"/>
        <w:gridCol w:w="1700"/>
        <w:gridCol w:w="1700"/>
      </w:tblGrid>
      <w:tr w:rsidR="0065360D" w:rsidRPr="001B220A" w:rsidTr="004F02EF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EC044B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DC1B14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="0065360D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5360D" w:rsidRPr="001B220A" w:rsidTr="004F02EF">
        <w:trPr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6A0538" w:rsidRPr="001B220A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ИММ-32-9,8-У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51 389,57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154 168,71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30 833,74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185 002,45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Pr="00EC5A20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ИММ-38-1,6-У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50 120,86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50 120,86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10 024,17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60 145,03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Изолирующая монолитная муфта ИММ-38-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50 120,86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50 120,86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10 024,17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60 145,03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ИММ-57-1,6-У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КИП-ТСТ-8-1,8/0,7-Крс-Сх22-БСЗ(Р)1/25-ЭС2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315 327,79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630 655,58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126 131,12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756 786,70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ИММ-57-1,6-ХЛ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59 575,96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178 727,88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35 745,58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214 473,46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60 061,34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2 642 698,96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528 539,79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3 171 238,75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60 061,34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60 061,34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12 012,27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72 073,61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ИММ-32-9,8-У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60 061,34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120 122,68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24 024,54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144 147,22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324 024,56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972 073,68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194 414,74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1 166 488,42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308 654,98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308 654,98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61 731,00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370 385,98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ИММ-57-9,8-ХЛ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64 062,62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128 125,24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25 625,05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153 750,29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ИММ-89-9,8-ХЛ в комплекте с устройством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молниезащиты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УМК-2Р-Г10В2х6 </w:t>
            </w: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399 309,46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399 309,46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79 861,89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479 171,35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ИММ-89-9,8-У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71 508,62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143 017,24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28 603,45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171 620,69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ИММ-89-9,8-ХЛ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335 972,80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335 972,80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67 194,56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403 167,36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ИММ-108-9,8-У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84 362,57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84 362,57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16 872,51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101 235,08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ИММ-108-9,8-У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358 907,84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1 076 723,52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215 344,70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1 292 068,22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ИММ-108-9,8-ХЛ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91 181,03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364 724,12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72 944,82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437 668,94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ИММ-108-9,8-ХЛ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335 773,38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671 546,76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134 309,35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805 856,11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19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ИММ-108-9,8-ХЛ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91 181,03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91 181,03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18 236,21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109 417,24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ИММ-159-9,8-ХЛ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КИП-ТСТ-8-1,8/0,7-Крс-Сх22-БСЗ(Р)1/25-ЭС2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383 737,45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767 474,90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153 494,98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920 969,88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21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ИММ-159-9,8-ХЛ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368 367,87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1 105 103,61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221 020,72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1 326 124,33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ИММ-219-1,6-ХЛ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122 536,46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122 536,46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24 507,29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147 043,75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ИММ-219-5,4-У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410 528,61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410 528,61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82 105,72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492 634,33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ИММ-219-5,4-У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410 528,61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410 528,61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82 105,72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492 634,33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25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ИММ-219-5,4-У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151 352,92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151 352,92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30 270,58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181 623,50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166 303,41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166 303,41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33 260,68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199 564,09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ИММ-219-9,8-ХЛ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166 303,41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166 303,41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33 260,68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199 564,09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ИММ-325-5,4-У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581 711,35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581 711,35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116 342,27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698 053,62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ИММ-325-5,4-ХЛ в комплекте с устройством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молниезащиты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УМК-2Р-Г10В2х6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679 503,31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679 503,31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135 900,66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815 403,97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ИММ-325-5,4-ХЛ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307 166,22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3 685 994,64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737 198,93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4 423 193,57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ИММ-426-1,6-У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КИП-ТСТ-8-1,8/0,7-Крс-Сх22-БСЗ(Р)1/25-ЭС2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896 373,63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896 373,63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179 274,73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1 075 648,36</w:t>
            </w:r>
          </w:p>
        </w:tc>
      </w:tr>
      <w:tr w:rsidR="006A0538" w:rsidRPr="001B220A" w:rsidTr="004F02EF">
        <w:trPr>
          <w:trHeight w:val="7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32</w:t>
            </w:r>
          </w:p>
        </w:tc>
        <w:tc>
          <w:tcPr>
            <w:tcW w:w="1985" w:type="dxa"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Изолирующая монолитная муфта ИММ-426-5,4-У в комплекте с </w:t>
            </w:r>
            <w:proofErr w:type="spellStart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искроразрядником</w:t>
            </w:r>
            <w:proofErr w:type="spellEnd"/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ГРС100Ех и КИП-ТСТ-8-1,8/0,7-Жлт-Сх22-БСЗ(Р)1/25-ЭС2 с двумя электродами сравнения и МКИ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A0538" w:rsidRPr="007B76F1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B76F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000000" w:fill="BFBFBF"/>
            <w:noWrap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983 731,50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1 967 463,00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393 492,60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A0538" w:rsidRPr="006A0538" w:rsidRDefault="006A0538" w:rsidP="006A05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sz w:val="22"/>
                <w:szCs w:val="22"/>
              </w:rPr>
              <w:t>2 360 955,60</w:t>
            </w:r>
          </w:p>
        </w:tc>
      </w:tr>
      <w:tr w:rsidR="00D97314" w:rsidRPr="001B220A" w:rsidTr="004F02EF">
        <w:trPr>
          <w:trHeight w:val="465"/>
          <w:jc w:val="center"/>
        </w:trPr>
        <w:tc>
          <w:tcPr>
            <w:tcW w:w="4960" w:type="dxa"/>
            <w:gridSpan w:val="4"/>
            <w:shd w:val="clear" w:color="auto" w:fill="auto"/>
            <w:vAlign w:val="center"/>
          </w:tcPr>
          <w:p w:rsidR="00D97314" w:rsidRPr="001B220A" w:rsidRDefault="00D97314" w:rsidP="00D9731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97314" w:rsidRPr="00D97314" w:rsidRDefault="006A0538" w:rsidP="006A053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bookmarkStart w:id="0" w:name="_GoBack"/>
            <w:bookmarkEnd w:id="0"/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573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546,13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97314" w:rsidRPr="00D97314" w:rsidRDefault="006A0538" w:rsidP="006A053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914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709,22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97314" w:rsidRPr="00D97314" w:rsidRDefault="006A0538" w:rsidP="006A053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488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6A05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255,35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4F02EF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568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8F9" w:rsidRDefault="007928F9" w:rsidP="00CA2407">
      <w:r>
        <w:separator/>
      </w:r>
    </w:p>
  </w:endnote>
  <w:endnote w:type="continuationSeparator" w:id="0">
    <w:p w:rsidR="007928F9" w:rsidRDefault="007928F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053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053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8F9" w:rsidRDefault="007928F9" w:rsidP="00CA2407">
      <w:r>
        <w:separator/>
      </w:r>
    </w:p>
  </w:footnote>
  <w:footnote w:type="continuationSeparator" w:id="0">
    <w:p w:rsidR="007928F9" w:rsidRDefault="007928F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A421B0" w:rsidRPr="00A421B0" w:rsidRDefault="00C17D37" w:rsidP="00A421B0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4F02EF" w:rsidRPr="004F02EF">
      <w:rPr>
        <w:rFonts w:ascii="Times New Roman" w:hAnsi="Times New Roman" w:cs="Times New Roman"/>
        <w:i/>
      </w:rPr>
      <w:t>22_ГТБ_1000946712</w:t>
    </w:r>
    <w:r w:rsidR="00A421B0" w:rsidRPr="00A421B0">
      <w:rPr>
        <w:rFonts w:ascii="Times New Roman" w:hAnsi="Times New Roman" w:cs="Times New Roman"/>
        <w:i/>
      </w:rPr>
      <w:t xml:space="preserve"> (ППЗ №</w:t>
    </w:r>
    <w:r w:rsidR="004F02EF" w:rsidRPr="004F02EF">
      <w:rPr>
        <w:rFonts w:ascii="Times New Roman" w:hAnsi="Times New Roman" w:cs="Times New Roman"/>
        <w:i/>
      </w:rPr>
      <w:t>1000946712</w:t>
    </w:r>
    <w:r w:rsidR="00A421B0" w:rsidRPr="00A421B0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097E"/>
    <w:rsid w:val="001E342A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1E1C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45E2F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3585"/>
    <w:rsid w:val="00387A9D"/>
    <w:rsid w:val="003936DE"/>
    <w:rsid w:val="00397F2F"/>
    <w:rsid w:val="003A769B"/>
    <w:rsid w:val="003B1681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E11E7"/>
    <w:rsid w:val="004F02EF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02A2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0538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90107"/>
    <w:rsid w:val="007928F9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B76F1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38BD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21B0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1AAB"/>
    <w:rsid w:val="00B125E2"/>
    <w:rsid w:val="00B1473B"/>
    <w:rsid w:val="00B24BEB"/>
    <w:rsid w:val="00B266C0"/>
    <w:rsid w:val="00B32911"/>
    <w:rsid w:val="00B36DCD"/>
    <w:rsid w:val="00B40E51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191"/>
    <w:rsid w:val="00BB0A38"/>
    <w:rsid w:val="00BB678F"/>
    <w:rsid w:val="00BC29E7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2043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C1B14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178F5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5A20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23"/>
    <w:rsid w:val="00F418A3"/>
    <w:rsid w:val="00F43F54"/>
    <w:rsid w:val="00F46F8E"/>
    <w:rsid w:val="00F538E5"/>
    <w:rsid w:val="00F5445E"/>
    <w:rsid w:val="00F55961"/>
    <w:rsid w:val="00F567AC"/>
    <w:rsid w:val="00F56A75"/>
    <w:rsid w:val="00F57505"/>
    <w:rsid w:val="00F6345F"/>
    <w:rsid w:val="00F63889"/>
    <w:rsid w:val="00F63BF4"/>
    <w:rsid w:val="00F63D0A"/>
    <w:rsid w:val="00F70C48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2961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8F14BD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B3A4-A3B6-4276-B79E-32847B7F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26</cp:revision>
  <cp:lastPrinted>2022-02-24T05:25:00Z</cp:lastPrinted>
  <dcterms:created xsi:type="dcterms:W3CDTF">2020-12-11T11:17:00Z</dcterms:created>
  <dcterms:modified xsi:type="dcterms:W3CDTF">2022-02-24T05:25:00Z</dcterms:modified>
</cp:coreProperties>
</file>