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A1" w:rsidRDefault="00D512DB">
      <w:pPr>
        <w:pStyle w:val="ConsPlusNonformat"/>
        <w:tabs>
          <w:tab w:val="left" w:pos="9638"/>
        </w:tabs>
        <w:ind w:right="-1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5972A1" w:rsidRDefault="00D512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>
        <w:rPr>
          <w:rFonts w:ascii="Times New Roman" w:hAnsi="Times New Roman" w:cs="Times New Roman"/>
          <w:i/>
          <w:sz w:val="24"/>
          <w:szCs w:val="28"/>
        </w:rPr>
        <w:t xml:space="preserve">к Документации о маркетинговых исследованиях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№ 25_ГТБеларусь_МИ_2.1_040_1209_001 (ППЗ № 1001477240)</w:t>
      </w:r>
    </w:p>
    <w:p w:rsidR="005972A1" w:rsidRDefault="00D512DB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(номер закупки в Плане Группы Газпром 24/2.1/00116139/ГТБ)</w:t>
      </w:r>
    </w:p>
    <w:p w:rsidR="005972A1" w:rsidRDefault="005972A1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5972A1" w:rsidRDefault="00D512DB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МЕТОДИКА АНАЛИЗА И ОЦЕНКИ ЗАЯВОК УЧАСТНИКОВ МАРКЕТИНГОВЫХ ИССЛЕДОВАНИЙ</w:t>
      </w:r>
    </w:p>
    <w:p w:rsidR="005972A1" w:rsidRDefault="00D512DB">
      <w:pPr>
        <w:spacing w:before="200" w:line="240" w:lineRule="auto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Раздел 1. Анализ заявок на предмет соответствия Участника и состава заявок требованиям Документации*.</w:t>
      </w:r>
    </w:p>
    <w:tbl>
      <w:tblPr>
        <w:tblStyle w:val="ad"/>
        <w:tblW w:w="14601" w:type="dxa"/>
        <w:tblInd w:w="-5" w:type="dxa"/>
        <w:tblLook w:val="04A0" w:firstRow="1" w:lastRow="0" w:firstColumn="1" w:lastColumn="0" w:noHBand="0" w:noVBand="1"/>
      </w:tblPr>
      <w:tblGrid>
        <w:gridCol w:w="377"/>
        <w:gridCol w:w="3592"/>
        <w:gridCol w:w="3544"/>
        <w:gridCol w:w="3119"/>
        <w:gridCol w:w="3969"/>
      </w:tblGrid>
      <w:tr w:rsidR="005972A1">
        <w:trPr>
          <w:trHeight w:val="20"/>
          <w:tblHeader/>
        </w:trPr>
        <w:tc>
          <w:tcPr>
            <w:tcW w:w="377" w:type="dxa"/>
            <w:vAlign w:val="center"/>
          </w:tcPr>
          <w:p w:rsidR="005972A1" w:rsidRDefault="00D512D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592" w:type="dxa"/>
            <w:vAlign w:val="center"/>
          </w:tcPr>
          <w:p w:rsidR="005972A1" w:rsidRDefault="00D512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5972A1" w:rsidRDefault="00D512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5972A1" w:rsidRDefault="00D512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119" w:type="dxa"/>
            <w:vAlign w:val="center"/>
          </w:tcPr>
          <w:p w:rsidR="005972A1" w:rsidRDefault="00D512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969" w:type="dxa"/>
            <w:vAlign w:val="center"/>
          </w:tcPr>
          <w:p w:rsidR="005972A1" w:rsidRDefault="00D512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5972A1">
        <w:trPr>
          <w:trHeight w:val="74"/>
        </w:trPr>
        <w:tc>
          <w:tcPr>
            <w:tcW w:w="377" w:type="dxa"/>
            <w:vMerge w:val="restart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предмета заявки на участие в маркетинговых исследованиях предмету закупки, указанному в документации о маркетинговых исследованиях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маркетинговых исследованиях (Форма 1).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номенклатурного перечня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товара предмету закупки.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5972A1">
        <w:trPr>
          <w:trHeight w:val="980"/>
        </w:trPr>
        <w:tc>
          <w:tcPr>
            <w:tcW w:w="377" w:type="dxa"/>
            <w:vMerge/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Соответствие предложения о стоимости работ (услуг), являющихся предметом закупки, начальной (максимально</w:t>
            </w:r>
            <w:r>
              <w:rPr>
                <w:rFonts w:ascii="Times New Roman" w:hAnsi="Times New Roman" w:cs="Times New Roman"/>
                <w:b/>
                <w:sz w:val="16"/>
                <w:szCs w:val="20"/>
              </w:rPr>
              <w:t>й) цене предмета закупки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работы (услуги) (Форма 1.1) с Приложениями (по составу документов, их наполнению, объёмом общей стоимости услуг) соответствующими требованиям документации о маркетинговых исследованиях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соответств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ия требованиям документации о маркетинговых исследованиях 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информации, неполная информация, несоответствие требованиям документации о маркетинговых исследованиях, превышение заявленной стоимости оказания услуг начальной (максимальной) цены предм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ета закупки </w:t>
            </w:r>
          </w:p>
        </w:tc>
      </w:tr>
      <w:tr w:rsidR="005972A1">
        <w:trPr>
          <w:trHeight w:val="916"/>
        </w:trPr>
        <w:tc>
          <w:tcPr>
            <w:tcW w:w="377" w:type="dxa"/>
            <w:vMerge/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выполнение работ (оказание услуг) (Форма 1.1).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выполнение работ (оказание услуг) (Форма 1.2).</w:t>
            </w:r>
            <w:bookmarkEnd w:id="6"/>
          </w:p>
          <w:p w:rsidR="005972A1" w:rsidRDefault="005972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й поставки, условий оплаты требованиям документации.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5972A1">
        <w:trPr>
          <w:trHeight w:val="551"/>
        </w:trPr>
        <w:tc>
          <w:tcPr>
            <w:tcW w:w="377" w:type="dxa"/>
            <w:vMerge/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срока действия заявки Участника на участие в маркетинговых исследованиях требованиям документации.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маркетинговых исследованиях (Форма 1).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рока, установленного в документации.</w:t>
            </w:r>
          </w:p>
        </w:tc>
      </w:tr>
      <w:tr w:rsidR="005972A1">
        <w:trPr>
          <w:trHeight w:val="20"/>
        </w:trPr>
        <w:tc>
          <w:tcPr>
            <w:tcW w:w="377" w:type="dxa"/>
            <w:vMerge w:val="restart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vMerge w:val="restart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Н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епредставление документа.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5972A1">
        <w:trPr>
          <w:trHeight w:val="20"/>
        </w:trPr>
        <w:tc>
          <w:tcPr>
            <w:tcW w:w="377" w:type="dxa"/>
            <w:vMerge/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vMerge/>
          </w:tcPr>
          <w:p w:rsidR="005972A1" w:rsidRDefault="005972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</w:tr>
      <w:tr w:rsidR="005972A1">
        <w:trPr>
          <w:trHeight w:val="20"/>
        </w:trPr>
        <w:tc>
          <w:tcPr>
            <w:tcW w:w="377" w:type="dxa"/>
            <w:vMerge/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vMerge/>
          </w:tcPr>
          <w:p w:rsidR="005972A1" w:rsidRDefault="005972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5972A1" w:rsidRDefault="00D512DB">
            <w:pPr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5972A1">
        <w:trPr>
          <w:trHeight w:val="185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ставном капитале хозяйственного общества.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между участником закупки и заказчиком конфликта интересов.</w:t>
            </w:r>
          </w:p>
        </w:tc>
      </w:tr>
      <w:tr w:rsidR="005972A1">
        <w:trPr>
          <w:trHeight w:val="1460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Таблица, запол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 (Форма 2.1).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сделки административно-хозяйственного назначения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</w:tc>
      </w:tr>
      <w:tr w:rsidR="005972A1">
        <w:trPr>
          <w:trHeight w:val="458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 документы в её составе.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ность представленных сведений.</w:t>
            </w:r>
          </w:p>
        </w:tc>
      </w:tr>
      <w:tr w:rsidR="005972A1">
        <w:trPr>
          <w:trHeight w:val="752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544" w:type="dxa"/>
            <w:vAlign w:val="center"/>
          </w:tcPr>
          <w:p w:rsidR="005972A1" w:rsidRDefault="00D512DB">
            <w:pPr>
              <w:pStyle w:val="afd"/>
              <w:tabs>
                <w:tab w:val="left" w:pos="851"/>
                <w:tab w:val="left" w:pos="1701"/>
                <w:tab w:val="left" w:pos="1843"/>
                <w:tab w:val="num" w:pos="7100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Заявление участника об отсутствии з</w:t>
            </w:r>
            <w:r>
              <w:rPr>
                <w:sz w:val="16"/>
                <w:szCs w:val="16"/>
              </w:rPr>
              <w:t>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из налогового органа.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задолжен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ности по уплате налогов, сборов, пеней и штрафов.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задолженности, штрафов, пеней, процедуры банкротства за последний отчетный период.</w:t>
            </w:r>
          </w:p>
        </w:tc>
      </w:tr>
      <w:tr w:rsidR="005972A1">
        <w:trPr>
          <w:trHeight w:val="156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процедуры банкротства.</w:t>
            </w:r>
          </w:p>
        </w:tc>
      </w:tr>
      <w:tr w:rsidR="005972A1">
        <w:trPr>
          <w:trHeight w:val="419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 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5972A1">
        <w:trPr>
          <w:trHeight w:val="1282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симальную) цену договора (лота).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Предложение участника о цене договора и отсутствие превышения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Несоответствие цен 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коммерческом предложении и форме «Заявка на участие в процедуре».</w:t>
            </w:r>
          </w:p>
        </w:tc>
      </w:tr>
      <w:tr w:rsidR="005972A1">
        <w:trPr>
          <w:trHeight w:val="468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Представление в установленные сроки у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частником маркетинговых исследований Организатору письменных разъяснений положений поданной им заявки на участие в маркетинговых исследованиях по письменному запросу Организатора, в том числе обоснование им цены заявки по отдельным номенклатурным позициям.</w:t>
            </w:r>
          </w:p>
        </w:tc>
        <w:tc>
          <w:tcPr>
            <w:tcW w:w="3544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 на запрос организатора с приложением (при необходимости) дополнительных документов.</w:t>
            </w: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ответа в установленный срок и достаточность сведений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Отсутствие ответа на запрос в установленный срок и недостаточность сведений.</w:t>
            </w:r>
          </w:p>
        </w:tc>
      </w:tr>
      <w:tr w:rsidR="005972A1">
        <w:trPr>
          <w:trHeight w:val="1184"/>
        </w:trPr>
        <w:tc>
          <w:tcPr>
            <w:tcW w:w="377" w:type="dxa"/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сведений об уч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астнике маркетинговых исследований, а также привлекаемого субпоставщика в реестре недобросовестных поставщиков Организатора и реестре,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544" w:type="dxa"/>
          </w:tcPr>
          <w:p w:rsidR="005972A1" w:rsidRDefault="005972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Реестр недобросовестных поставщиков Организатора и 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969" w:type="dxa"/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Участника закупки или привлекаемого субпоставщика в реестрах Организатора и ведение которого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осуществляется в соответствии с законодательством страны регистрации Участника</w:t>
            </w:r>
          </w:p>
        </w:tc>
      </w:tr>
      <w:tr w:rsidR="005972A1">
        <w:trPr>
          <w:trHeight w:val="2106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 превышение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услуг за последние 3 года пяти процентов от начальной (максимальной) цены.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Справка о деловой репутации (Форма 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сумма всех судебных решений не в пользу участника закупки в качестве ответчика, связанных с изготовлением, поставкой, эксплуатацией проду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кции/ выполнением работ/ оказанием услуг за последние 3 года. При этом, под суммой судебных решений понимается совокупность взысканных с участника закупки денежных средств в соответствии с решением суда, в том числе задолженностей, неустоек, пени, проценто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 за пользование чужими денежными средствами, расходов по уплате госпошлин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судебных решений не в пользу участника закупки в качестве ответчика, связанных с изготовлением, поставкой, эксплуатацией продукции/ выполнением работ/ оказанием услуг за после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дние 3 года равна, либо превышает 5% от начальной (максимальной) цены.</w:t>
            </w:r>
          </w:p>
        </w:tc>
      </w:tr>
      <w:tr w:rsidR="005972A1">
        <w:trPr>
          <w:trHeight w:val="20"/>
        </w:trPr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подтверждающих квалификацию участника, а также возможность им выполнить работы / оказать услуги по предмету закупки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 3.3. (Форма </w:t>
            </w:r>
            <w:r>
              <w:rPr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Наличие документов, подтверждающих квалификацию участника в соответствии с п. 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Непредставление одного, или нескольких документов в соответствии с п. 3.3.</w:t>
            </w:r>
          </w:p>
        </w:tc>
      </w:tr>
      <w:tr w:rsidR="005972A1">
        <w:trPr>
          <w:trHeight w:val="2535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72A1" w:rsidRDefault="005972A1">
            <w:pPr>
              <w:pStyle w:val="af0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Кадровый, производственно-технический потенциал Участника, по реализации закупки на условиях Заказчика, степень возможности мобилизации финансового, трудового, производственного и технического потенциала в решении поставленных задач.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 персонале,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имеющемся в организации, в том числе, предполагаемом для оказания услуг по предмету закупки, подтверждающие наличие в штате организации квалифицированных кадров для оказания услуг, по составу и количеству, соответствующему предмету закупки, а также установ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ленных документацией о маркетинговых исследованиях сроков их реализации </w:t>
            </w:r>
          </w:p>
          <w:p w:rsidR="005972A1" w:rsidRDefault="00D512D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количестве в штате специалистов, соответствующих требованиям Приложения 2 к документации о маркетинговых исследованиях, с указанием стажа и опыта работы.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(Форма </w:t>
            </w:r>
            <w:r>
              <w:rPr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5972A1" w:rsidRDefault="00D512DB">
            <w:pPr>
              <w:pStyle w:val="afd"/>
              <w:shd w:val="clear" w:color="auto" w:fill="FFFFFF" w:themeFill="background1"/>
              <w:tabs>
                <w:tab w:val="left" w:pos="709"/>
              </w:tabs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Выписка из штатного расписания с указанием фактической численности работников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Наличие документов, подтверждающих кадровый и производственно-технический потенциал в соответствии с требованиями документации о маркетинговых исследованиях 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(Приложение 2 Докумен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тации "Техническое задание").</w:t>
            </w:r>
          </w:p>
          <w:p w:rsidR="005972A1" w:rsidRDefault="005972A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Отсутствие информации.</w:t>
            </w:r>
          </w:p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Недостаточность численности работников (в разрезе специальностей по нормативной реализации работ по предмету закупки в сроки, установленные Заказчиком (Приложение 2 Документации "Техническое задание")</w:t>
            </w:r>
          </w:p>
        </w:tc>
      </w:tr>
      <w:tr w:rsidR="005972A1">
        <w:trPr>
          <w:trHeight w:val="2287"/>
        </w:trPr>
        <w:tc>
          <w:tcPr>
            <w:tcW w:w="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72A1" w:rsidRDefault="005972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5972A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 наличие производственно-технического потенциала Участника, в том числе:</w:t>
            </w:r>
          </w:p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перечень оборудования, машин и механизмов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(в том числе </w:t>
            </w:r>
            <w:r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>предполагаемых для выполнения работ по предмету закупки),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имеющихся в организации 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обеспечивающих выполнение зака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 (Форма 9).</w:t>
            </w:r>
          </w:p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pacing w:val="-9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перечень арендуемых, закупаемых машин, механизмов, оборудования (наименование, адрес арендодателя, продавца), необходимых для выполнения работ по предмету закупки (Форма 9).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shd w:val="clear" w:color="auto" w:fill="FFFFFF" w:themeFill="background1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Наличие, соответствие требованиям закупки. (Приложение 2 Документа</w:t>
            </w: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ции "Техническое задание").</w:t>
            </w:r>
          </w:p>
          <w:p w:rsidR="005972A1" w:rsidRDefault="005972A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2A1" w:rsidRDefault="00D512D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+FPEF" w:hAnsi="Times New Roman" w:cs="Times New Roman"/>
                <w:sz w:val="16"/>
                <w:szCs w:val="16"/>
              </w:rPr>
              <w:t>Отсутствие информации; отсутствие наличия (с учётом аренды), либо недостаточность (по составу и количеству) машин, механизмов, специального оборудования, требуемых для выполнения заявленных работ.</w:t>
            </w:r>
          </w:p>
        </w:tc>
      </w:tr>
    </w:tbl>
    <w:p w:rsidR="005972A1" w:rsidRDefault="00D512DB">
      <w:pPr>
        <w:spacing w:before="120" w:after="0" w:line="240" w:lineRule="auto"/>
        <w:ind w:right="-17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* - В данном Разделе Методики</w:t>
      </w:r>
      <w:r>
        <w:rPr>
          <w:rFonts w:ascii="Times New Roman" w:hAnsi="Times New Roman" w:cs="Times New Roman"/>
          <w:sz w:val="20"/>
          <w:szCs w:val="20"/>
        </w:rPr>
        <w:t xml:space="preserve"> представлены критерии, по которым Комиссия по подведению итогов маркетинговых исследований имеет право отклонить заявку Участника маркетинговых исследований. Если заявка одного из Участников по какому-либо критерию не была отклонена Комиссией, заявки оста</w:t>
      </w:r>
      <w:r>
        <w:rPr>
          <w:rFonts w:ascii="Times New Roman" w:hAnsi="Times New Roman" w:cs="Times New Roman"/>
          <w:sz w:val="20"/>
          <w:szCs w:val="20"/>
        </w:rPr>
        <w:t>льных Участников по данному критерию также не отклоняются. Критерии могут быть изменены инициатором закупки.</w:t>
      </w:r>
    </w:p>
    <w:p w:rsidR="005972A1" w:rsidRDefault="005972A1">
      <w:pPr>
        <w:rPr>
          <w:rFonts w:ascii="Times New Roman" w:hAnsi="Times New Roman" w:cs="Times New Roman"/>
          <w:b/>
          <w:sz w:val="28"/>
          <w:szCs w:val="28"/>
        </w:rPr>
        <w:sectPr w:rsidR="005972A1">
          <w:footerReference w:type="default" r:id="rId8"/>
          <w:pgSz w:w="16838" w:h="11906" w:orient="landscape"/>
          <w:pgMar w:top="1276" w:right="1134" w:bottom="709" w:left="1134" w:header="709" w:footer="567" w:gutter="0"/>
          <w:cols w:space="708"/>
          <w:docGrid w:linePitch="360"/>
        </w:sectPr>
      </w:pPr>
    </w:p>
    <w:p w:rsidR="005972A1" w:rsidRDefault="00D512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0"/>
        </w:rPr>
        <w:t>Раздел 2. Оценка и сопоставление заявок Участников маркетинговых исследований.</w:t>
      </w:r>
    </w:p>
    <w:p w:rsidR="005972A1" w:rsidRDefault="00D512D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оцениваются и сопоставляются заявки Участников маркетинговых исследований в соответствии с положениями данного раздела. </w:t>
      </w:r>
    </w:p>
    <w:p w:rsidR="005972A1" w:rsidRPr="00970D05" w:rsidRDefault="00D512DB" w:rsidP="00970D05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</w:t>
      </w:r>
      <w:r w:rsidR="00970D05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0D05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311C">
        <w:rPr>
          <w:rFonts w:ascii="Times New Roman" w:hAnsi="Times New Roman" w:cs="Times New Roman"/>
          <w:sz w:val="24"/>
          <w:szCs w:val="24"/>
        </w:rPr>
        <w:t xml:space="preserve">баллов по </w:t>
      </w:r>
      <w:r w:rsidR="00970D05">
        <w:rPr>
          <w:rFonts w:ascii="Times New Roman" w:hAnsi="Times New Roman" w:cs="Times New Roman"/>
          <w:sz w:val="24"/>
          <w:szCs w:val="24"/>
        </w:rPr>
        <w:t xml:space="preserve">Критериям оценки заявок </w:t>
      </w:r>
      <w:r>
        <w:rPr>
          <w:rFonts w:ascii="Times New Roman" w:hAnsi="Times New Roman" w:cs="Times New Roman"/>
          <w:sz w:val="24"/>
          <w:szCs w:val="24"/>
        </w:rPr>
        <w:t xml:space="preserve">устанавливается в </w:t>
      </w:r>
      <w:r w:rsidR="00970D05">
        <w:rPr>
          <w:rFonts w:ascii="Times New Roman" w:hAnsi="Times New Roman" w:cs="Times New Roman"/>
          <w:sz w:val="24"/>
          <w:szCs w:val="24"/>
        </w:rPr>
        <w:t xml:space="preserve">60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="00970D05">
        <w:rPr>
          <w:rFonts w:ascii="Times New Roman" w:hAnsi="Times New Roman" w:cs="Times New Roman"/>
          <w:sz w:val="24"/>
          <w:szCs w:val="24"/>
        </w:rPr>
        <w:t>ов и распределено по критериям в соответствии с удельным весом</w:t>
      </w:r>
      <w:r w:rsidRPr="00970D05">
        <w:rPr>
          <w:rFonts w:ascii="Times New Roman" w:hAnsi="Times New Roman" w:cs="Times New Roman"/>
          <w:sz w:val="24"/>
          <w:szCs w:val="24"/>
        </w:rPr>
        <w:t>,</w:t>
      </w:r>
      <w:r w:rsidRPr="00970D05">
        <w:rPr>
          <w:rFonts w:ascii="Times New Roman" w:hAnsi="Times New Roman" w:cs="Times New Roman"/>
          <w:sz w:val="24"/>
          <w:szCs w:val="24"/>
        </w:rPr>
        <w:t xml:space="preserve"> приведенным в Таблице 1.</w:t>
      </w:r>
    </w:p>
    <w:p w:rsidR="005972A1" w:rsidRDefault="00D512DB">
      <w:pPr>
        <w:tabs>
          <w:tab w:val="left" w:pos="1134"/>
        </w:tabs>
        <w:spacing w:after="0" w:line="240" w:lineRule="auto"/>
        <w:ind w:left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701"/>
        <w:gridCol w:w="1276"/>
      </w:tblGrid>
      <w:tr w:rsidR="005972A1">
        <w:trPr>
          <w:trHeight w:val="748"/>
        </w:trPr>
        <w:tc>
          <w:tcPr>
            <w:tcW w:w="567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 </w:t>
            </w:r>
          </w:p>
        </w:tc>
        <w:tc>
          <w:tcPr>
            <w:tcW w:w="6379" w:type="dxa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заявок Участников</w:t>
            </w:r>
          </w:p>
        </w:tc>
        <w:tc>
          <w:tcPr>
            <w:tcW w:w="1701" w:type="dxa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right="-151" w:firstLine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Начисляемые баллы </w:t>
            </w:r>
          </w:p>
        </w:tc>
        <w:tc>
          <w:tcPr>
            <w:tcW w:w="1276" w:type="dxa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right="-151" w:firstLine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Удельный вес, %</w:t>
            </w:r>
          </w:p>
        </w:tc>
      </w:tr>
      <w:tr w:rsidR="005972A1">
        <w:trPr>
          <w:trHeight w:val="338"/>
        </w:trPr>
        <w:tc>
          <w:tcPr>
            <w:tcW w:w="567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5972A1" w:rsidRDefault="00D512DB" w:rsidP="00606D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606DBD">
              <w:rPr>
                <w:rFonts w:ascii="Times New Roman" w:hAnsi="Times New Roman" w:cs="Times New Roman"/>
                <w:sz w:val="24"/>
                <w:szCs w:val="24"/>
              </w:rPr>
              <w:t>заявки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972A1">
        <w:trPr>
          <w:trHeight w:val="338"/>
        </w:trPr>
        <w:tc>
          <w:tcPr>
            <w:tcW w:w="567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5972A1" w:rsidRDefault="00D512DB" w:rsidP="00606DB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услуг) по внедрению и сопровождению информационных систем на базе SAP, выполненный</w:t>
            </w:r>
            <w:r w:rsidR="00606DBD">
              <w:rPr>
                <w:rFonts w:ascii="Times New Roman" w:hAnsi="Times New Roman" w:cs="Times New Roman"/>
                <w:sz w:val="24"/>
                <w:szCs w:val="24"/>
              </w:rPr>
              <w:t xml:space="preserve"> (оказанный)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</w:t>
            </w:r>
            <w:r w:rsidR="00606DBD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собственными силами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предприятиях Республики Беларусь</w:t>
            </w:r>
          </w:p>
        </w:tc>
        <w:tc>
          <w:tcPr>
            <w:tcW w:w="1701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72A1">
        <w:trPr>
          <w:trHeight w:val="1399"/>
        </w:trPr>
        <w:tc>
          <w:tcPr>
            <w:tcW w:w="567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379" w:type="dxa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 штате Участника сертифицированных сотрудников по направлениям: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Бухгалтерский, налоговый и финансовый учет (FI);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Отчетность SAP BI/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/BO;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Управленческий учёт (CO);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Логистика (MM, SD);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Техническое обслуживание и ремонт оборудования (PM);</w:t>
            </w:r>
          </w:p>
          <w:p w:rsidR="005972A1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Организационный менеджмент и кадровое администрирование, расчет заработной платы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HCM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Payroll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5972A1" w:rsidRPr="00D87BBA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7B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</w:t>
            </w:r>
            <w:r w:rsidRPr="00D87B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инвестициями</w:t>
            </w:r>
            <w:r w:rsidRPr="00D87B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(PS);</w:t>
            </w:r>
          </w:p>
          <w:p w:rsidR="005972A1" w:rsidRPr="00D87BBA" w:rsidRDefault="00D512DB">
            <w:pPr>
              <w:spacing w:after="0" w:line="264" w:lineRule="auto"/>
              <w:ind w:right="112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SAP HANA (Application, Technology)</w:t>
            </w:r>
            <w:r w:rsidRPr="00D87B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5972A1" w:rsidRDefault="005972A1">
            <w:pPr>
              <w:spacing w:after="0" w:line="264" w:lineRule="auto"/>
              <w:ind w:right="112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ind w:left="-140" w:firstLine="1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972A1" w:rsidRDefault="00D51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72A1">
        <w:trPr>
          <w:trHeight w:val="1988"/>
        </w:trPr>
        <w:tc>
          <w:tcPr>
            <w:tcW w:w="9923" w:type="dxa"/>
            <w:gridSpan w:val="4"/>
          </w:tcPr>
          <w:p w:rsidR="005972A1" w:rsidRDefault="00D512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Примечание:</w:t>
            </w:r>
          </w:p>
          <w:p w:rsidR="005972A1" w:rsidRPr="00606DBD" w:rsidRDefault="00606DBD">
            <w:pPr>
              <w:pStyle w:val="af0"/>
              <w:numPr>
                <w:ilvl w:val="0"/>
                <w:numId w:val="7"/>
              </w:numPr>
              <w:shd w:val="clear" w:color="auto" w:fill="FFFFFF" w:themeFill="background1"/>
              <w:tabs>
                <w:tab w:val="left" w:pos="31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6DBD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П</w:t>
            </w:r>
            <w:r w:rsidRPr="00606DBD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>ревышение цены заявки (далее - заявка) размера начальной (максимальной) цены, установленной в Извещении о маркетинговых исследованиях, исключает Участника от дальнейшего рассмотрения его заявки</w:t>
            </w:r>
            <w:r w:rsidR="00D512DB" w:rsidRPr="00606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  <w:p w:rsidR="005972A1" w:rsidRDefault="00D512D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18"/>
                <w:i/>
                <w:sz w:val="24"/>
                <w:szCs w:val="24"/>
              </w:rPr>
              <w:t>2. Организатор маркетинговых исследований, закупочная комиссия, при необходимости, вправе запрос</w:t>
            </w:r>
            <w:r>
              <w:rPr>
                <w:rStyle w:val="FontStyle18"/>
                <w:i/>
                <w:sz w:val="24"/>
                <w:szCs w:val="24"/>
              </w:rPr>
              <w:t>ить у участника уточняющую информацию к его заявке, которую участник обязан предоставить в указанный в запросе срок.</w:t>
            </w:r>
          </w:p>
        </w:tc>
      </w:tr>
    </w:tbl>
    <w:p w:rsidR="005972A1" w:rsidRDefault="00D512DB">
      <w:pPr>
        <w:shd w:val="clear" w:color="auto" w:fill="FFFFFF" w:themeFill="background1"/>
        <w:tabs>
          <w:tab w:val="left" w:pos="567"/>
          <w:tab w:val="left" w:pos="5724"/>
        </w:tabs>
        <w:spacing w:before="200" w:line="240" w:lineRule="auto"/>
        <w:rPr>
          <w:rFonts w:ascii="Times New Roman" w:hAnsi="Times New Roman" w:cs="Times New Roman"/>
          <w:b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>2.1. Методика расчета получаемых претендентами баллов:</w:t>
      </w:r>
    </w:p>
    <w:p w:rsidR="005972A1" w:rsidRDefault="00D512DB">
      <w:pPr>
        <w:shd w:val="clear" w:color="auto" w:fill="FFFFFF" w:themeFill="background1"/>
        <w:tabs>
          <w:tab w:val="left" w:pos="619"/>
        </w:tabs>
        <w:spacing w:after="120" w:line="240" w:lineRule="auto"/>
        <w:rPr>
          <w:rFonts w:ascii="Times New Roman" w:hAnsi="Times New Roman" w:cs="Times New Roman"/>
          <w:b/>
          <w:i/>
          <w:iCs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По Критерию 1. «</w:t>
      </w:r>
      <w:r>
        <w:rPr>
          <w:rFonts w:ascii="Times New Roman" w:hAnsi="Times New Roman" w:cs="Times New Roman"/>
          <w:b/>
          <w:i/>
          <w:iCs/>
          <w:spacing w:val="-10"/>
          <w:sz w:val="24"/>
          <w:szCs w:val="24"/>
        </w:rPr>
        <w:t>Цена заявки Участника», в тыс. бел. руб.</w:t>
      </w:r>
    </w:p>
    <w:p w:rsidR="005972A1" w:rsidRDefault="00606DBD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превышение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цены </w:t>
      </w:r>
      <w:r>
        <w:rPr>
          <w:rFonts w:ascii="Times New Roman" w:hAnsi="Times New Roman" w:cs="Times New Roman"/>
          <w:spacing w:val="-4"/>
          <w:sz w:val="24"/>
          <w:szCs w:val="24"/>
        </w:rPr>
        <w:t>заявки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(далее - </w:t>
      </w:r>
      <w:r>
        <w:rPr>
          <w:rFonts w:ascii="Times New Roman" w:hAnsi="Times New Roman" w:cs="Times New Roman"/>
          <w:spacing w:val="-4"/>
          <w:sz w:val="24"/>
          <w:szCs w:val="24"/>
        </w:rPr>
        <w:t>заявка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) </w:t>
      </w:r>
      <w:r>
        <w:rPr>
          <w:rFonts w:ascii="Times New Roman" w:hAnsi="Times New Roman" w:cs="Times New Roman"/>
          <w:spacing w:val="-4"/>
          <w:sz w:val="24"/>
          <w:szCs w:val="24"/>
        </w:rPr>
        <w:t>размера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>начальн</w:t>
      </w:r>
      <w:r>
        <w:rPr>
          <w:rFonts w:ascii="Times New Roman" w:hAnsi="Times New Roman" w:cs="Times New Roman"/>
          <w:spacing w:val="-4"/>
          <w:sz w:val="24"/>
          <w:szCs w:val="24"/>
        </w:rPr>
        <w:t>ой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(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>максимальн</w:t>
      </w:r>
      <w:r>
        <w:rPr>
          <w:rFonts w:ascii="Times New Roman" w:hAnsi="Times New Roman" w:cs="Times New Roman"/>
          <w:spacing w:val="-4"/>
          <w:sz w:val="24"/>
          <w:szCs w:val="24"/>
        </w:rPr>
        <w:t>ой)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цен</w:t>
      </w:r>
      <w:r>
        <w:rPr>
          <w:rFonts w:ascii="Times New Roman" w:hAnsi="Times New Roman" w:cs="Times New Roman"/>
          <w:spacing w:val="-4"/>
          <w:sz w:val="24"/>
          <w:szCs w:val="24"/>
        </w:rPr>
        <w:t>ы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>, установленн</w:t>
      </w:r>
      <w:r>
        <w:rPr>
          <w:rFonts w:ascii="Times New Roman" w:hAnsi="Times New Roman" w:cs="Times New Roman"/>
          <w:spacing w:val="-4"/>
          <w:sz w:val="24"/>
          <w:szCs w:val="24"/>
        </w:rPr>
        <w:t>ой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в </w:t>
      </w:r>
      <w:r>
        <w:rPr>
          <w:rFonts w:ascii="Times New Roman" w:hAnsi="Times New Roman" w:cs="Times New Roman"/>
          <w:spacing w:val="-4"/>
          <w:sz w:val="24"/>
          <w:szCs w:val="24"/>
        </w:rPr>
        <w:t>Извещении о маркетинговых исследованиях,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 xml:space="preserve"> исключает Участника от дальнейшего рассмотрения его </w:t>
      </w:r>
      <w:r>
        <w:rPr>
          <w:rFonts w:ascii="Times New Roman" w:hAnsi="Times New Roman" w:cs="Times New Roman"/>
          <w:spacing w:val="-4"/>
          <w:sz w:val="24"/>
          <w:szCs w:val="24"/>
        </w:rPr>
        <w:t>заявки</w:t>
      </w:r>
      <w:r w:rsidR="00D512DB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5972A1" w:rsidRDefault="00D512DB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максимальное колич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ество баллов – 48 (сорок восемь)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получает минимальная по цене </w:t>
      </w:r>
      <w:r>
        <w:rPr>
          <w:rFonts w:ascii="Times New Roman" w:hAnsi="Times New Roman" w:cs="Times New Roman"/>
          <w:spacing w:val="-2"/>
          <w:sz w:val="24"/>
          <w:szCs w:val="24"/>
        </w:rPr>
        <w:t>заявка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972A1" w:rsidRPr="00606DBD" w:rsidRDefault="00D512DB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right="24" w:firstLine="709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06DBD">
        <w:rPr>
          <w:rFonts w:ascii="Times New Roman" w:hAnsi="Times New Roman" w:cs="Times New Roman"/>
          <w:spacing w:val="-4"/>
          <w:sz w:val="24"/>
          <w:szCs w:val="24"/>
        </w:rPr>
        <w:t xml:space="preserve">остальные </w:t>
      </w:r>
      <w:r w:rsidR="00606DBD" w:rsidRPr="00606DBD">
        <w:rPr>
          <w:rFonts w:ascii="Times New Roman" w:hAnsi="Times New Roman" w:cs="Times New Roman"/>
          <w:spacing w:val="-4"/>
          <w:sz w:val="24"/>
          <w:szCs w:val="24"/>
        </w:rPr>
        <w:t>заявки</w:t>
      </w:r>
      <w:r w:rsidRPr="00606DBD">
        <w:rPr>
          <w:rFonts w:ascii="Times New Roman" w:hAnsi="Times New Roman" w:cs="Times New Roman"/>
          <w:spacing w:val="-4"/>
          <w:sz w:val="24"/>
          <w:szCs w:val="24"/>
        </w:rPr>
        <w:t xml:space="preserve"> оцениваются пропорционально в </w:t>
      </w:r>
      <w:r w:rsidRPr="00606DBD">
        <w:rPr>
          <w:rFonts w:ascii="Times New Roman" w:hAnsi="Times New Roman" w:cs="Times New Roman"/>
          <w:spacing w:val="-4"/>
          <w:sz w:val="24"/>
          <w:szCs w:val="24"/>
        </w:rPr>
        <w:t>сторону уменьшения по интерполяции.</w:t>
      </w:r>
    </w:p>
    <w:p w:rsidR="00606DBD" w:rsidRDefault="00606DBD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6DBD" w:rsidRDefault="00606DBD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0D05" w:rsidRDefault="00970D05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6DBD" w:rsidRDefault="00606DBD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Расчёт </w:t>
      </w:r>
      <w:r w:rsidR="00A17B42">
        <w:rPr>
          <w:rFonts w:ascii="Times New Roman" w:hAnsi="Times New Roman" w:cs="Times New Roman"/>
          <w:i/>
          <w:sz w:val="24"/>
          <w:szCs w:val="24"/>
        </w:rPr>
        <w:t>баллов, присваиваемых по критерию оценки,</w:t>
      </w:r>
      <w:r>
        <w:rPr>
          <w:rFonts w:ascii="Times New Roman" w:hAnsi="Times New Roman" w:cs="Times New Roman"/>
          <w:i/>
          <w:sz w:val="24"/>
          <w:szCs w:val="24"/>
        </w:rPr>
        <w:t xml:space="preserve"> производится </w:t>
      </w:r>
      <w:r w:rsidR="00A17B42">
        <w:rPr>
          <w:rFonts w:ascii="Times New Roman" w:hAnsi="Times New Roman" w:cs="Times New Roman"/>
          <w:i/>
          <w:sz w:val="24"/>
          <w:szCs w:val="24"/>
        </w:rPr>
        <w:t>по</w:t>
      </w:r>
      <w:r>
        <w:rPr>
          <w:rFonts w:ascii="Times New Roman" w:hAnsi="Times New Roman" w:cs="Times New Roman"/>
          <w:i/>
          <w:sz w:val="24"/>
          <w:szCs w:val="24"/>
        </w:rPr>
        <w:t xml:space="preserve"> формуле: </w:t>
      </w:r>
    </w:p>
    <w:p w:rsidR="005972A1" w:rsidRDefault="005972A1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r>
            <w:rPr>
              <w:rFonts w:ascii="Cambria Math" w:hAnsi="Cambria Math" w:cs="Times New Roman"/>
              <w:sz w:val="24"/>
              <w:szCs w:val="24"/>
            </w:rPr>
            <m:t>48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×</m:t>
          </m:r>
          <m:d>
            <m:dPr>
              <m:begChr m:val=""/>
              <m:endChr m:val=""/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min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sub>
                  </m:sSub>
                </m:den>
              </m:f>
            </m:e>
          </m:d>
        </m:oMath>
      </m:oMathPara>
    </w:p>
    <w:p w:rsidR="005972A1" w:rsidRDefault="005972A1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где, К</w:t>
      </w:r>
      <w:r>
        <w:rPr>
          <w:rFonts w:ascii="Times New Roman" w:hAnsi="Times New Roman" w:cs="Times New Roman"/>
          <w:i/>
          <w:sz w:val="24"/>
          <w:szCs w:val="24"/>
          <w:vertAlign w:val="subscript"/>
        </w:rPr>
        <w:t>у1</w:t>
      </w:r>
      <w:r>
        <w:rPr>
          <w:rFonts w:ascii="Times New Roman" w:hAnsi="Times New Roman" w:cs="Times New Roman"/>
          <w:i/>
          <w:sz w:val="24"/>
          <w:szCs w:val="24"/>
        </w:rPr>
        <w:t xml:space="preserve"> - балл участника по критерию 1;</w:t>
      </w: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i/>
          <w:spacing w:val="-4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48 - 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>максимальное количество баллов;</w:t>
      </w: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y</w:t>
      </w:r>
      <w:r>
        <w:rPr>
          <w:rFonts w:ascii="Times New Roman" w:hAnsi="Times New Roman" w:cs="Times New Roman"/>
          <w:i/>
          <w:sz w:val="24"/>
          <w:szCs w:val="24"/>
        </w:rPr>
        <w:t xml:space="preserve"> – цена заявки Участника;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972A1" w:rsidRDefault="00D512DB">
      <w:pPr>
        <w:shd w:val="clear" w:color="auto" w:fill="FFFFFF" w:themeFill="background1"/>
        <w:spacing w:after="0" w:line="240" w:lineRule="auto"/>
        <w:ind w:right="2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min</w:t>
      </w:r>
      <w:r>
        <w:rPr>
          <w:rFonts w:ascii="Times New Roman" w:hAnsi="Times New Roman" w:cs="Times New Roman"/>
          <w:i/>
          <w:sz w:val="24"/>
          <w:szCs w:val="24"/>
        </w:rPr>
        <w:t xml:space="preserve"> – минимальная (из всех предложенных) цена заявки Участника.</w:t>
      </w:r>
    </w:p>
    <w:p w:rsidR="005972A1" w:rsidRDefault="005972A1">
      <w:pPr>
        <w:shd w:val="clear" w:color="auto" w:fill="FFFFFF" w:themeFill="background1"/>
        <w:spacing w:after="120" w:line="240" w:lineRule="auto"/>
        <w:ind w:right="23"/>
        <w:jc w:val="both"/>
        <w:rPr>
          <w:rFonts w:ascii="Times New Roman" w:hAnsi="Times New Roman" w:cs="Times New Roman"/>
          <w:b/>
          <w:i/>
          <w:iCs/>
          <w:spacing w:val="-9"/>
          <w:sz w:val="24"/>
          <w:szCs w:val="24"/>
        </w:rPr>
      </w:pPr>
    </w:p>
    <w:p w:rsidR="005972A1" w:rsidRDefault="00D512DB">
      <w:pPr>
        <w:shd w:val="clear" w:color="auto" w:fill="FFFFFF" w:themeFill="background1"/>
        <w:spacing w:after="120" w:line="240" w:lineRule="auto"/>
        <w:ind w:right="23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06DBD">
        <w:rPr>
          <w:rFonts w:ascii="Times New Roman" w:hAnsi="Times New Roman" w:cs="Times New Roman"/>
          <w:b/>
          <w:i/>
          <w:iCs/>
          <w:spacing w:val="-9"/>
          <w:sz w:val="24"/>
          <w:szCs w:val="24"/>
        </w:rPr>
        <w:t>По Критерию 2. «</w:t>
      </w:r>
      <w:r w:rsidR="00606DBD" w:rsidRPr="00606DBD">
        <w:rPr>
          <w:rFonts w:ascii="Times New Roman" w:hAnsi="Times New Roman" w:cs="Times New Roman"/>
          <w:b/>
          <w:i/>
          <w:sz w:val="24"/>
          <w:szCs w:val="24"/>
        </w:rPr>
        <w:t>Объем работ (услуг) по внедрению и сопровождению информационных систем на базе SAP, выполненный (оказанный) Участником собственными силами на предприятиях Республики Беларусь</w:t>
      </w:r>
      <w:r w:rsidRPr="00606DB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7E5839" w:rsidRPr="007E5839" w:rsidRDefault="007E5839" w:rsidP="007E5839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5839">
        <w:rPr>
          <w:rFonts w:ascii="Times New Roman" w:hAnsi="Times New Roman" w:cs="Times New Roman"/>
          <w:b/>
          <w:sz w:val="24"/>
          <w:szCs w:val="24"/>
        </w:rPr>
        <w:t>Объем работ (услуг) подтверждается копиями соответствующих договоров.</w:t>
      </w:r>
    </w:p>
    <w:p w:rsidR="005972A1" w:rsidRPr="00A17B42" w:rsidRDefault="00D512DB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142" w:right="24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AB311C">
        <w:rPr>
          <w:rFonts w:ascii="Times New Roman" w:hAnsi="Times New Roman" w:cs="Times New Roman"/>
          <w:spacing w:val="-12"/>
          <w:sz w:val="24"/>
          <w:szCs w:val="24"/>
        </w:rPr>
        <w:t xml:space="preserve">для начисления баллов по Критерию 2 учитывается совокупный 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объем 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работ (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услуг)</w:t>
      </w:r>
      <w:r w:rsidR="00606D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06DBD" w:rsidRPr="00606DBD">
        <w:rPr>
          <w:rFonts w:ascii="Times New Roman" w:hAnsi="Times New Roman" w:cs="Times New Roman"/>
          <w:sz w:val="24"/>
          <w:szCs w:val="24"/>
        </w:rPr>
        <w:t xml:space="preserve">по внедрению и сопровождению информационных систем на базе SAP, выполненный (оказанный) Участником </w:t>
      </w:r>
      <w:r w:rsidR="00606DBD" w:rsidRPr="00606DBD">
        <w:rPr>
          <w:rFonts w:ascii="Times New Roman" w:hAnsi="Times New Roman" w:cs="Times New Roman"/>
          <w:b/>
          <w:sz w:val="24"/>
          <w:szCs w:val="24"/>
        </w:rPr>
        <w:t>собственными силами</w:t>
      </w:r>
      <w:r w:rsidR="00606DBD" w:rsidRPr="00606DBD">
        <w:rPr>
          <w:rFonts w:ascii="Times New Roman" w:hAnsi="Times New Roman" w:cs="Times New Roman"/>
          <w:sz w:val="24"/>
          <w:szCs w:val="24"/>
        </w:rPr>
        <w:t xml:space="preserve"> на предприятиях Республики Беларусь</w:t>
      </w:r>
      <w:r w:rsidR="00AB311C">
        <w:rPr>
          <w:rFonts w:ascii="Times New Roman" w:hAnsi="Times New Roman" w:cs="Times New Roman"/>
          <w:sz w:val="24"/>
          <w:szCs w:val="24"/>
        </w:rPr>
        <w:t xml:space="preserve"> за последние три года (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2022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="00A17B42">
        <w:rPr>
          <w:rFonts w:ascii="Times New Roman" w:hAnsi="Times New Roman" w:cs="Times New Roman"/>
          <w:spacing w:val="-4"/>
          <w:sz w:val="24"/>
          <w:szCs w:val="24"/>
        </w:rPr>
        <w:t xml:space="preserve">2023, 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2024</w:t>
      </w:r>
      <w:r w:rsidR="00AB311C">
        <w:rPr>
          <w:rFonts w:ascii="Times New Roman" w:hAnsi="Times New Roman" w:cs="Times New Roman"/>
          <w:spacing w:val="-4"/>
          <w:sz w:val="24"/>
          <w:szCs w:val="24"/>
        </w:rPr>
        <w:t>),</w:t>
      </w:r>
      <w:r w:rsidR="00A17B4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огранич</w:t>
      </w:r>
      <w:r w:rsidR="00AB311C">
        <w:rPr>
          <w:rFonts w:ascii="Times New Roman" w:hAnsi="Times New Roman" w:cs="Times New Roman"/>
          <w:spacing w:val="-4"/>
          <w:sz w:val="24"/>
          <w:szCs w:val="24"/>
        </w:rPr>
        <w:t>енный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 3-х кратной стоимост</w:t>
      </w:r>
      <w:r w:rsidR="00A17B42">
        <w:rPr>
          <w:rFonts w:ascii="Times New Roman" w:hAnsi="Times New Roman" w:cs="Times New Roman"/>
          <w:spacing w:val="-4"/>
          <w:sz w:val="24"/>
          <w:szCs w:val="24"/>
        </w:rPr>
        <w:t>ью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начальной </w:t>
      </w:r>
      <w:r w:rsidR="00606DBD">
        <w:rPr>
          <w:rFonts w:ascii="Times New Roman" w:hAnsi="Times New Roman" w:cs="Times New Roman"/>
          <w:spacing w:val="-4"/>
          <w:sz w:val="24"/>
          <w:szCs w:val="24"/>
        </w:rPr>
        <w:t>(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максимальной</w:t>
      </w:r>
      <w:r w:rsidR="00606DBD">
        <w:rPr>
          <w:rFonts w:ascii="Times New Roman" w:hAnsi="Times New Roman" w:cs="Times New Roman"/>
          <w:spacing w:val="-4"/>
          <w:sz w:val="24"/>
          <w:szCs w:val="24"/>
        </w:rPr>
        <w:t>)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 цены</w:t>
      </w:r>
      <w:r w:rsidR="00AB311C">
        <w:rPr>
          <w:rFonts w:ascii="Times New Roman" w:hAnsi="Times New Roman" w:cs="Times New Roman"/>
          <w:spacing w:val="-4"/>
          <w:sz w:val="24"/>
          <w:szCs w:val="24"/>
        </w:rPr>
        <w:t xml:space="preserve"> закупки</w:t>
      </w:r>
      <w:r w:rsidR="00A17B42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="00A17B42" w:rsidRPr="00584581">
        <w:rPr>
          <w:rFonts w:ascii="Times New Roman" w:hAnsi="Times New Roman" w:cs="Times New Roman"/>
          <w:b/>
          <w:spacing w:val="-4"/>
          <w:sz w:val="24"/>
          <w:szCs w:val="24"/>
        </w:rPr>
        <w:t>что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606DBD">
        <w:rPr>
          <w:rFonts w:ascii="Times New Roman" w:hAnsi="Times New Roman" w:cs="Times New Roman"/>
          <w:b/>
          <w:spacing w:val="-4"/>
          <w:sz w:val="24"/>
          <w:szCs w:val="24"/>
        </w:rPr>
        <w:t>соответствует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584581">
        <w:rPr>
          <w:rFonts w:ascii="Times New Roman" w:hAnsi="Times New Roman" w:cs="Times New Roman"/>
          <w:b/>
          <w:spacing w:val="-4"/>
          <w:sz w:val="24"/>
          <w:szCs w:val="24"/>
        </w:rPr>
        <w:t>265 473,18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>т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ыс. </w:t>
      </w:r>
      <w:r w:rsidR="00584581">
        <w:rPr>
          <w:rFonts w:ascii="Times New Roman" w:hAnsi="Times New Roman" w:cs="Times New Roman"/>
          <w:b/>
          <w:spacing w:val="-4"/>
          <w:sz w:val="24"/>
          <w:szCs w:val="24"/>
        </w:rPr>
        <w:t>рос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. </w:t>
      </w:r>
      <w:r w:rsidR="00584581">
        <w:rPr>
          <w:rFonts w:ascii="Times New Roman" w:hAnsi="Times New Roman" w:cs="Times New Roman"/>
          <w:b/>
          <w:spacing w:val="-4"/>
          <w:sz w:val="24"/>
          <w:szCs w:val="24"/>
        </w:rPr>
        <w:t>р</w:t>
      </w:r>
      <w:r w:rsidRPr="00584581">
        <w:rPr>
          <w:rFonts w:ascii="Times New Roman" w:hAnsi="Times New Roman" w:cs="Times New Roman"/>
          <w:b/>
          <w:spacing w:val="-4"/>
          <w:sz w:val="24"/>
          <w:szCs w:val="24"/>
        </w:rPr>
        <w:t>ублей</w:t>
      </w:r>
      <w:r w:rsidR="0058458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без НДС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5972A1" w:rsidRPr="00A17B42" w:rsidRDefault="00D512DB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142" w:right="24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заявка, имеющая </w:t>
      </w:r>
      <w:r w:rsidR="00606DBD" w:rsidRPr="00A17B42">
        <w:rPr>
          <w:rFonts w:ascii="Times New Roman" w:hAnsi="Times New Roman" w:cs="Times New Roman"/>
          <w:spacing w:val="-4"/>
          <w:sz w:val="24"/>
          <w:szCs w:val="24"/>
        </w:rPr>
        <w:t>максимальный объем работ (услуг)</w:t>
      </w:r>
      <w:r w:rsidR="00606DB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606DBD" w:rsidRPr="00606DBD">
        <w:rPr>
          <w:rFonts w:ascii="Times New Roman" w:hAnsi="Times New Roman" w:cs="Times New Roman"/>
          <w:sz w:val="24"/>
          <w:szCs w:val="24"/>
        </w:rPr>
        <w:t xml:space="preserve">по внедрению и сопровождению информационных систем на базе SAP, выполненный (оказанный) Участником </w:t>
      </w:r>
      <w:r w:rsidR="00606DBD" w:rsidRPr="00606DBD">
        <w:rPr>
          <w:rFonts w:ascii="Times New Roman" w:hAnsi="Times New Roman" w:cs="Times New Roman"/>
          <w:b/>
          <w:sz w:val="24"/>
          <w:szCs w:val="24"/>
        </w:rPr>
        <w:t>собственными силами</w:t>
      </w:r>
      <w:r w:rsidR="00606DBD" w:rsidRPr="00606DBD">
        <w:rPr>
          <w:rFonts w:ascii="Times New Roman" w:hAnsi="Times New Roman" w:cs="Times New Roman"/>
          <w:sz w:val="24"/>
          <w:szCs w:val="24"/>
        </w:rPr>
        <w:t xml:space="preserve"> на предприятиях Республики Беларусь</w:t>
      </w:r>
      <w:r w:rsidR="00606DBD" w:rsidRPr="00606DBD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="00606DBD" w:rsidRPr="00A17B42">
        <w:rPr>
          <w:rFonts w:ascii="Times New Roman" w:hAnsi="Times New Roman" w:cs="Times New Roman"/>
          <w:spacing w:val="-4"/>
          <w:sz w:val="24"/>
          <w:szCs w:val="24"/>
        </w:rPr>
        <w:t>по договорам за 2022</w:t>
      </w:r>
      <w:r w:rsidR="00AB311C">
        <w:rPr>
          <w:rFonts w:ascii="Times New Roman" w:hAnsi="Times New Roman" w:cs="Times New Roman"/>
          <w:spacing w:val="-4"/>
          <w:sz w:val="24"/>
          <w:szCs w:val="24"/>
        </w:rPr>
        <w:t>-</w:t>
      </w:r>
      <w:r w:rsidR="00606DBD" w:rsidRPr="00A17B42">
        <w:rPr>
          <w:rFonts w:ascii="Times New Roman" w:hAnsi="Times New Roman" w:cs="Times New Roman"/>
          <w:spacing w:val="-4"/>
          <w:sz w:val="24"/>
          <w:szCs w:val="24"/>
        </w:rPr>
        <w:t>2024 год</w:t>
      </w:r>
      <w:r w:rsidR="00606DBD">
        <w:rPr>
          <w:rFonts w:ascii="Times New Roman" w:hAnsi="Times New Roman" w:cs="Times New Roman"/>
          <w:spacing w:val="-4"/>
          <w:sz w:val="24"/>
          <w:szCs w:val="24"/>
        </w:rPr>
        <w:t>ы</w:t>
      </w:r>
      <w:r w:rsidR="00A17B42"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 (с учетом вышеназванного ограничения)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, оценивается в </w:t>
      </w:r>
      <w:r w:rsidRPr="00A17B42">
        <w:rPr>
          <w:rFonts w:ascii="Times New Roman" w:hAnsi="Times New Roman" w:cs="Times New Roman"/>
          <w:b/>
          <w:spacing w:val="-4"/>
          <w:sz w:val="24"/>
          <w:szCs w:val="24"/>
        </w:rPr>
        <w:t>9 (девять) баллов</w:t>
      </w:r>
      <w:r w:rsidRPr="00A17B42">
        <w:rPr>
          <w:rFonts w:ascii="Times New Roman" w:hAnsi="Times New Roman" w:cs="Times New Roman"/>
          <w:spacing w:val="-4"/>
          <w:sz w:val="24"/>
          <w:szCs w:val="24"/>
        </w:rPr>
        <w:t>;</w:t>
      </w:r>
    </w:p>
    <w:p w:rsidR="005972A1" w:rsidRDefault="00D512DB">
      <w:pPr>
        <w:pStyle w:val="af0"/>
        <w:numPr>
          <w:ilvl w:val="1"/>
          <w:numId w:val="12"/>
        </w:numPr>
        <w:shd w:val="clear" w:color="auto" w:fill="FFFFFF" w:themeFill="background1"/>
        <w:tabs>
          <w:tab w:val="left" w:pos="993"/>
        </w:tabs>
        <w:spacing w:after="0" w:line="240" w:lineRule="auto"/>
        <w:ind w:left="142" w:right="24"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17B42">
        <w:rPr>
          <w:rFonts w:ascii="Times New Roman" w:hAnsi="Times New Roman" w:cs="Times New Roman"/>
          <w:spacing w:val="-4"/>
          <w:sz w:val="24"/>
          <w:szCs w:val="24"/>
        </w:rPr>
        <w:t xml:space="preserve">остальные заявки оцениваются пропорционально в сторону уменьшения. </w:t>
      </w:r>
    </w:p>
    <w:p w:rsidR="00606DBD" w:rsidRPr="00A17B42" w:rsidRDefault="00606DBD" w:rsidP="00606DBD">
      <w:pPr>
        <w:pStyle w:val="af0"/>
        <w:shd w:val="clear" w:color="auto" w:fill="FFFFFF" w:themeFill="background1"/>
        <w:tabs>
          <w:tab w:val="left" w:pos="993"/>
        </w:tabs>
        <w:spacing w:after="0" w:line="240" w:lineRule="auto"/>
        <w:ind w:left="709" w:right="24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5972A1" w:rsidRDefault="00A17B42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Расчёт баллов, присваиваемых по критерию оценки, производится по </w:t>
      </w:r>
      <w:r w:rsidRPr="00A17B42">
        <w:rPr>
          <w:rFonts w:ascii="Times New Roman" w:hAnsi="Times New Roman" w:cs="Times New Roman"/>
          <w:i/>
          <w:sz w:val="24"/>
          <w:szCs w:val="24"/>
        </w:rPr>
        <w:t>формуле</w:t>
      </w:r>
      <w:r w:rsidR="00D512DB" w:rsidRPr="00A17B42">
        <w:rPr>
          <w:rFonts w:ascii="Times New Roman" w:hAnsi="Times New Roman" w:cs="Times New Roman"/>
          <w:i/>
          <w:spacing w:val="-10"/>
          <w:sz w:val="24"/>
          <w:szCs w:val="24"/>
        </w:rPr>
        <w:t>:</w:t>
      </w:r>
      <w:r w:rsidR="00D512DB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</w:p>
    <w:p w:rsidR="005972A1" w:rsidRDefault="005972A1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</w:p>
    <w:p w:rsidR="005972A1" w:rsidRDefault="00D512DB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eastAsiaTheme="minorEastAsia" w:hAnsi="Times New Roman" w:cs="Times New Roman"/>
          <w:i/>
          <w:spacing w:val="-1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pacing w:val="-1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pacing w:val="-10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pacing w:val="-10"/>
                  <w:sz w:val="24"/>
                  <w:szCs w:val="24"/>
                </w:rPr>
                <m:t>y</m:t>
              </m:r>
              <m:r>
                <w:rPr>
                  <w:rFonts w:ascii="Cambria Math" w:hAnsi="Cambria Math" w:cs="Times New Roman"/>
                  <w:spacing w:val="-1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pacing w:val="-10"/>
              <w:sz w:val="24"/>
              <w:szCs w:val="24"/>
            </w:rPr>
            <m:t>=9×</m:t>
          </m:r>
          <m:f>
            <m:fPr>
              <m:ctrlPr>
                <w:rPr>
                  <w:rFonts w:ascii="Cambria Math" w:hAnsi="Cambria Math" w:cs="Times New Roman"/>
                  <w:i/>
                  <w:spacing w:val="-1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pacing w:val="-1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-10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pacing w:val="-10"/>
                      <w:sz w:val="24"/>
                      <w:szCs w:val="24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pacing w:val="-1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pacing w:val="-10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pacing w:val="-10"/>
                      <w:sz w:val="24"/>
                      <w:szCs w:val="24"/>
                    </w:rPr>
                    <m:t>max</m:t>
                  </m:r>
                </m:sub>
              </m:sSub>
            </m:den>
          </m:f>
        </m:oMath>
      </m:oMathPara>
    </w:p>
    <w:p w:rsidR="005972A1" w:rsidRDefault="005972A1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</w:p>
    <w:p w:rsidR="005972A1" w:rsidRDefault="00D512DB">
      <w:pPr>
        <w:shd w:val="clear" w:color="auto" w:fill="FFFFFF"/>
        <w:spacing w:after="0" w:line="240" w:lineRule="auto"/>
        <w:ind w:right="34" w:firstLine="709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  <w:r>
        <w:rPr>
          <w:rFonts w:ascii="Times New Roman" w:hAnsi="Times New Roman" w:cs="Times New Roman"/>
          <w:i/>
          <w:spacing w:val="-10"/>
          <w:sz w:val="24"/>
          <w:szCs w:val="24"/>
        </w:rPr>
        <w:t>где, К</w:t>
      </w:r>
      <w:r>
        <w:rPr>
          <w:rFonts w:ascii="Times New Roman" w:hAnsi="Times New Roman" w:cs="Times New Roman"/>
          <w:i/>
          <w:spacing w:val="-10"/>
          <w:sz w:val="24"/>
          <w:szCs w:val="24"/>
          <w:vertAlign w:val="subscript"/>
        </w:rPr>
        <w:t>у2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 - балл участника по Критерию 2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A17B42">
        <w:rPr>
          <w:rFonts w:ascii="Times New Roman" w:hAnsi="Times New Roman" w:cs="Times New Roman"/>
          <w:i/>
          <w:spacing w:val="-10"/>
          <w:sz w:val="24"/>
          <w:szCs w:val="24"/>
        </w:rPr>
        <w:t>(о</w:t>
      </w:r>
      <w:r w:rsidR="00D87BBA">
        <w:rPr>
          <w:rFonts w:ascii="Times New Roman" w:hAnsi="Times New Roman" w:cs="Times New Roman"/>
          <w:i/>
          <w:spacing w:val="-10"/>
          <w:sz w:val="24"/>
          <w:szCs w:val="24"/>
        </w:rPr>
        <w:t>кругляется до одного знака после запятой</w:t>
      </w:r>
      <w:r w:rsidR="00A17B42">
        <w:rPr>
          <w:rFonts w:ascii="Times New Roman" w:hAnsi="Times New Roman" w:cs="Times New Roman"/>
          <w:i/>
          <w:spacing w:val="-10"/>
          <w:sz w:val="24"/>
          <w:szCs w:val="24"/>
        </w:rPr>
        <w:t>)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>;</w:t>
      </w:r>
    </w:p>
    <w:p w:rsidR="005972A1" w:rsidRDefault="00D512DB">
      <w:pPr>
        <w:shd w:val="clear" w:color="auto" w:fill="FFFFFF"/>
        <w:spacing w:after="0" w:line="240" w:lineRule="auto"/>
        <w:ind w:right="34" w:firstLine="708"/>
        <w:jc w:val="both"/>
        <w:rPr>
          <w:rFonts w:ascii="Times New Roman" w:hAnsi="Times New Roman" w:cs="Times New Roman"/>
          <w:i/>
          <w:spacing w:val="-10"/>
          <w:sz w:val="24"/>
          <w:szCs w:val="24"/>
        </w:rPr>
      </w:pPr>
      <w:r>
        <w:rPr>
          <w:rFonts w:ascii="Times New Roman" w:hAnsi="Times New Roman" w:cs="Times New Roman"/>
          <w:i/>
          <w:spacing w:val="-1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pacing w:val="-10"/>
          <w:sz w:val="24"/>
          <w:szCs w:val="24"/>
          <w:vertAlign w:val="subscript"/>
        </w:rPr>
        <w:t>у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A17B42">
        <w:rPr>
          <w:rFonts w:ascii="Times New Roman" w:hAnsi="Times New Roman" w:cs="Times New Roman"/>
          <w:i/>
          <w:spacing w:val="-10"/>
          <w:sz w:val="24"/>
          <w:szCs w:val="24"/>
        </w:rPr>
        <w:t>–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="00AB311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совокупный 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объём работ (услуг), выполненных (оказанных) </w:t>
      </w:r>
      <w:r w:rsidR="00606DBD">
        <w:rPr>
          <w:rFonts w:ascii="Times New Roman" w:hAnsi="Times New Roman" w:cs="Times New Roman"/>
          <w:i/>
          <w:spacing w:val="-10"/>
          <w:sz w:val="24"/>
          <w:szCs w:val="24"/>
        </w:rPr>
        <w:t xml:space="preserve">оцениваемым 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>Участником</w:t>
      </w:r>
      <w:r>
        <w:rPr>
          <w:rFonts w:ascii="Times New Roman" w:hAnsi="Times New Roman" w:cs="Times New Roman"/>
          <w:i/>
          <w:spacing w:val="-12"/>
          <w:sz w:val="24"/>
          <w:szCs w:val="24"/>
        </w:rPr>
        <w:t xml:space="preserve"> по договорам </w:t>
      </w:r>
      <w:r w:rsidRPr="00A17B42">
        <w:rPr>
          <w:rFonts w:ascii="Times New Roman" w:hAnsi="Times New Roman" w:cs="Times New Roman"/>
          <w:i/>
          <w:spacing w:val="-6"/>
          <w:sz w:val="24"/>
          <w:szCs w:val="24"/>
        </w:rPr>
        <w:t xml:space="preserve">подряда </w:t>
      </w:r>
      <w:r w:rsidRPr="00A17B42">
        <w:rPr>
          <w:rFonts w:ascii="Times New Roman" w:hAnsi="Times New Roman" w:cs="Times New Roman"/>
          <w:i/>
          <w:spacing w:val="-6"/>
          <w:sz w:val="24"/>
          <w:szCs w:val="24"/>
        </w:rPr>
        <w:t>за 2022</w:t>
      </w:r>
      <w:r w:rsidR="00AB311C">
        <w:rPr>
          <w:rFonts w:ascii="Times New Roman" w:hAnsi="Times New Roman" w:cs="Times New Roman"/>
          <w:i/>
          <w:spacing w:val="-6"/>
          <w:sz w:val="24"/>
          <w:szCs w:val="24"/>
        </w:rPr>
        <w:t>-</w:t>
      </w:r>
      <w:r w:rsidRPr="00A17B42">
        <w:rPr>
          <w:rFonts w:ascii="Times New Roman" w:hAnsi="Times New Roman" w:cs="Times New Roman"/>
          <w:i/>
          <w:spacing w:val="-6"/>
          <w:sz w:val="24"/>
          <w:szCs w:val="24"/>
        </w:rPr>
        <w:t xml:space="preserve">2024 </w:t>
      </w:r>
      <w:r w:rsidRPr="00A17B42">
        <w:rPr>
          <w:rFonts w:ascii="Times New Roman" w:hAnsi="Times New Roman" w:cs="Times New Roman"/>
          <w:i/>
          <w:spacing w:val="-6"/>
          <w:sz w:val="24"/>
          <w:szCs w:val="24"/>
        </w:rPr>
        <w:t>год</w:t>
      </w:r>
      <w:r w:rsidR="00AB311C">
        <w:rPr>
          <w:rFonts w:ascii="Times New Roman" w:hAnsi="Times New Roman" w:cs="Times New Roman"/>
          <w:i/>
          <w:spacing w:val="-6"/>
          <w:sz w:val="24"/>
          <w:szCs w:val="24"/>
        </w:rPr>
        <w:t>ы</w:t>
      </w:r>
      <w:r w:rsidRPr="00A17B4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собственными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силами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 xml:space="preserve"> (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>с учетом вышеназванного ограничения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>)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>;</w:t>
      </w:r>
    </w:p>
    <w:p w:rsidR="005972A1" w:rsidRDefault="00D512DB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pacing w:val="-1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pacing w:val="-10"/>
          <w:sz w:val="24"/>
          <w:szCs w:val="24"/>
          <w:vertAlign w:val="subscript"/>
          <w:lang w:val="en-US"/>
        </w:rPr>
        <w:t>max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 - максимальный (из всех представленных</w:t>
      </w:r>
      <w:r w:rsidR="00584581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Участниками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 xml:space="preserve">) </w:t>
      </w:r>
      <w:r w:rsidR="00AB311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совокупный 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>объём работ (услуг), выполненны</w:t>
      </w:r>
      <w:r>
        <w:rPr>
          <w:rFonts w:ascii="Times New Roman" w:hAnsi="Times New Roman" w:cs="Times New Roman"/>
          <w:i/>
          <w:spacing w:val="-10"/>
          <w:sz w:val="24"/>
          <w:szCs w:val="24"/>
        </w:rPr>
        <w:t>х (оказанных), участником</w:t>
      </w:r>
      <w:r>
        <w:rPr>
          <w:rFonts w:ascii="Times New Roman" w:hAnsi="Times New Roman" w:cs="Times New Roman"/>
          <w:i/>
          <w:spacing w:val="-12"/>
          <w:sz w:val="24"/>
          <w:szCs w:val="24"/>
        </w:rPr>
        <w:t xml:space="preserve"> по договорам 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подряда </w:t>
      </w:r>
      <w:r w:rsidR="00AB311C" w:rsidRPr="00A17B42">
        <w:rPr>
          <w:rFonts w:ascii="Times New Roman" w:hAnsi="Times New Roman" w:cs="Times New Roman"/>
          <w:i/>
          <w:spacing w:val="-6"/>
          <w:sz w:val="24"/>
          <w:szCs w:val="24"/>
        </w:rPr>
        <w:t>за 2022</w:t>
      </w:r>
      <w:r w:rsidR="00AB311C">
        <w:rPr>
          <w:rFonts w:ascii="Times New Roman" w:hAnsi="Times New Roman" w:cs="Times New Roman"/>
          <w:i/>
          <w:spacing w:val="-6"/>
          <w:sz w:val="24"/>
          <w:szCs w:val="24"/>
        </w:rPr>
        <w:t>-</w:t>
      </w:r>
      <w:r w:rsidR="00AB311C" w:rsidRPr="00A17B42">
        <w:rPr>
          <w:rFonts w:ascii="Times New Roman" w:hAnsi="Times New Roman" w:cs="Times New Roman"/>
          <w:i/>
          <w:spacing w:val="-6"/>
          <w:sz w:val="24"/>
          <w:szCs w:val="24"/>
        </w:rPr>
        <w:t>2024 год</w:t>
      </w:r>
      <w:r w:rsidR="00AB311C">
        <w:rPr>
          <w:rFonts w:ascii="Times New Roman" w:hAnsi="Times New Roman" w:cs="Times New Roman"/>
          <w:i/>
          <w:spacing w:val="-6"/>
          <w:sz w:val="24"/>
          <w:szCs w:val="24"/>
        </w:rPr>
        <w:t>ы</w:t>
      </w:r>
      <w:r w:rsidR="00AB311C" w:rsidRPr="00A17B42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>собственными сила</w:t>
      </w:r>
      <w:r w:rsidR="00D87BBA">
        <w:rPr>
          <w:rFonts w:ascii="Times New Roman" w:hAnsi="Times New Roman" w:cs="Times New Roman"/>
          <w:i/>
          <w:spacing w:val="-6"/>
          <w:sz w:val="24"/>
          <w:szCs w:val="24"/>
        </w:rPr>
        <w:t xml:space="preserve">ми 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>(</w:t>
      </w:r>
      <w:r w:rsidR="00D87BBA">
        <w:rPr>
          <w:rFonts w:ascii="Times New Roman" w:hAnsi="Times New Roman" w:cs="Times New Roman"/>
          <w:i/>
          <w:spacing w:val="-6"/>
          <w:sz w:val="24"/>
          <w:szCs w:val="24"/>
        </w:rPr>
        <w:t xml:space="preserve">с учетом 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>вышеназванного</w:t>
      </w:r>
      <w:r w:rsidR="00D87BBA">
        <w:rPr>
          <w:rFonts w:ascii="Times New Roman" w:hAnsi="Times New Roman" w:cs="Times New Roman"/>
          <w:i/>
          <w:spacing w:val="-6"/>
          <w:sz w:val="24"/>
          <w:szCs w:val="24"/>
        </w:rPr>
        <w:t xml:space="preserve"> ограничени</w:t>
      </w:r>
      <w:r w:rsidR="00584581">
        <w:rPr>
          <w:rFonts w:ascii="Times New Roman" w:hAnsi="Times New Roman" w:cs="Times New Roman"/>
          <w:i/>
          <w:spacing w:val="-6"/>
          <w:sz w:val="24"/>
          <w:szCs w:val="24"/>
        </w:rPr>
        <w:t>я)</w:t>
      </w:r>
      <w:r>
        <w:rPr>
          <w:rFonts w:ascii="Times New Roman" w:hAnsi="Times New Roman" w:cs="Times New Roman"/>
          <w:i/>
          <w:spacing w:val="-6"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972A1" w:rsidRDefault="005972A1">
      <w:pPr>
        <w:spacing w:after="0" w:line="240" w:lineRule="auto"/>
        <w:ind w:right="34" w:firstLine="708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5972A1" w:rsidRDefault="00D512DB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По Критерию 3. «Наличие в штате Участника сертифицированных сотрудников по направлениям: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Бухгалтерский, налоговый и финансовый учет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FI);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SAP BI/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/BO;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Управленческий учёт (CO);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Логистика (MM, SD);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Техническое обслуживание и ремонт оборудования (PM);</w:t>
      </w:r>
    </w:p>
    <w:p w:rsidR="005972A1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Организационный менеджмент и кадровое администрирование, расчет заработной платы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HR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Payroll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972A1" w:rsidRPr="00D87BBA" w:rsidRDefault="00D512DB">
      <w:pPr>
        <w:spacing w:after="0" w:line="264" w:lineRule="auto"/>
        <w:ind w:right="112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87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</w:t>
      </w:r>
      <w:r w:rsidRPr="00D87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инвестициями</w:t>
      </w:r>
      <w:r w:rsidRPr="00D87BB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(PS);</w:t>
      </w:r>
    </w:p>
    <w:p w:rsidR="005972A1" w:rsidRPr="00D87BBA" w:rsidRDefault="00D512DB">
      <w:pPr>
        <w:spacing w:after="0" w:line="264" w:lineRule="auto"/>
        <w:ind w:right="112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BB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>SAP</w:t>
      </w:r>
      <w:r w:rsidRPr="00D87B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HANA</w:t>
      </w:r>
      <w:r w:rsidRPr="00D87BB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Application</w:t>
      </w:r>
      <w:r w:rsidRPr="00D87BB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Technology</w:t>
      </w:r>
      <w:r w:rsidRPr="00D87BB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5972A1" w:rsidRPr="006D54BB" w:rsidRDefault="00D512DB" w:rsidP="00584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4BB">
        <w:rPr>
          <w:rFonts w:ascii="Times New Roman" w:hAnsi="Times New Roman" w:cs="Times New Roman"/>
          <w:b/>
          <w:sz w:val="24"/>
          <w:szCs w:val="24"/>
        </w:rPr>
        <w:t>Наличие в штате участника подтверждается выпиской из штатного расписания и копиями сертификатов</w:t>
      </w:r>
      <w:r w:rsidR="00362264">
        <w:rPr>
          <w:rFonts w:ascii="Times New Roman" w:hAnsi="Times New Roman" w:cs="Times New Roman"/>
          <w:b/>
          <w:sz w:val="24"/>
          <w:szCs w:val="24"/>
        </w:rPr>
        <w:t xml:space="preserve"> (по каждому из направлений сотрудник должен быть занят на полную ставку)</w:t>
      </w:r>
      <w:r w:rsidRPr="006D54BB">
        <w:rPr>
          <w:rFonts w:ascii="Times New Roman" w:hAnsi="Times New Roman" w:cs="Times New Roman"/>
          <w:b/>
          <w:sz w:val="24"/>
          <w:szCs w:val="24"/>
        </w:rPr>
        <w:t>.</w:t>
      </w:r>
    </w:p>
    <w:p w:rsidR="005972A1" w:rsidRDefault="00D512D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наличии в штате Участника сертифицированных сотрудников по всем вышеперечисленным направлениям Участнику присваивается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581">
        <w:rPr>
          <w:rFonts w:ascii="Times New Roman" w:hAnsi="Times New Roman" w:cs="Times New Roman"/>
          <w:b/>
          <w:sz w:val="24"/>
          <w:szCs w:val="24"/>
        </w:rPr>
        <w:t>3 балла;</w:t>
      </w:r>
    </w:p>
    <w:p w:rsidR="005972A1" w:rsidRPr="00584581" w:rsidRDefault="00D512D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наличии в штате Участника </w:t>
      </w:r>
      <w:r w:rsidRPr="00584581">
        <w:rPr>
          <w:rFonts w:ascii="Times New Roman" w:hAnsi="Times New Roman" w:cs="Times New Roman"/>
          <w:sz w:val="24"/>
          <w:szCs w:val="24"/>
        </w:rPr>
        <w:t xml:space="preserve">сертифицированных сотрудников </w:t>
      </w:r>
      <w:r w:rsidRPr="00584581">
        <w:rPr>
          <w:rFonts w:ascii="Times New Roman" w:hAnsi="Times New Roman" w:cs="Times New Roman"/>
          <w:sz w:val="24"/>
          <w:szCs w:val="24"/>
        </w:rPr>
        <w:t>по семи и менее</w:t>
      </w:r>
      <w:r w:rsidRPr="00584581">
        <w:rPr>
          <w:rFonts w:ascii="Times New Roman" w:hAnsi="Times New Roman" w:cs="Times New Roman"/>
          <w:sz w:val="24"/>
          <w:szCs w:val="24"/>
        </w:rPr>
        <w:t xml:space="preserve"> из вышеперечисленных направлений Участнику при</w:t>
      </w:r>
      <w:r w:rsidRPr="00584581">
        <w:rPr>
          <w:rFonts w:ascii="Times New Roman" w:hAnsi="Times New Roman" w:cs="Times New Roman"/>
          <w:sz w:val="24"/>
          <w:szCs w:val="24"/>
        </w:rPr>
        <w:t xml:space="preserve">сваивается </w:t>
      </w:r>
      <w:r w:rsidRPr="00584581">
        <w:rPr>
          <w:rFonts w:ascii="Times New Roman" w:hAnsi="Times New Roman" w:cs="Times New Roman"/>
          <w:sz w:val="24"/>
          <w:szCs w:val="24"/>
        </w:rPr>
        <w:t>-</w:t>
      </w:r>
      <w:r w:rsidRPr="00584581">
        <w:rPr>
          <w:rFonts w:ascii="Times New Roman" w:hAnsi="Times New Roman" w:cs="Times New Roman"/>
          <w:b/>
          <w:sz w:val="24"/>
          <w:szCs w:val="24"/>
        </w:rPr>
        <w:t xml:space="preserve"> 2 балла;</w:t>
      </w:r>
    </w:p>
    <w:p w:rsidR="005972A1" w:rsidRPr="00584581" w:rsidRDefault="00D512D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81">
        <w:rPr>
          <w:rFonts w:ascii="Times New Roman" w:hAnsi="Times New Roman" w:cs="Times New Roman"/>
          <w:sz w:val="24"/>
          <w:szCs w:val="24"/>
        </w:rPr>
        <w:t xml:space="preserve">При наличии в штате Участника сертифицированных сотрудников </w:t>
      </w:r>
      <w:r w:rsidRPr="00584581">
        <w:rPr>
          <w:rFonts w:ascii="Times New Roman" w:hAnsi="Times New Roman" w:cs="Times New Roman"/>
          <w:sz w:val="24"/>
          <w:szCs w:val="24"/>
        </w:rPr>
        <w:t>по шести и менее</w:t>
      </w:r>
      <w:r w:rsidRPr="00584581">
        <w:rPr>
          <w:rFonts w:ascii="Times New Roman" w:hAnsi="Times New Roman" w:cs="Times New Roman"/>
          <w:sz w:val="24"/>
          <w:szCs w:val="24"/>
        </w:rPr>
        <w:t xml:space="preserve"> из вышеперечисленных направлений Участнику присваивается –</w:t>
      </w:r>
      <w:r w:rsidRPr="0058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581">
        <w:rPr>
          <w:rFonts w:ascii="Times New Roman" w:hAnsi="Times New Roman" w:cs="Times New Roman"/>
          <w:b/>
          <w:sz w:val="24"/>
          <w:szCs w:val="24"/>
        </w:rPr>
        <w:t>1 балл;</w:t>
      </w:r>
    </w:p>
    <w:p w:rsidR="005972A1" w:rsidRPr="00584581" w:rsidRDefault="00D512D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581">
        <w:rPr>
          <w:rFonts w:ascii="Times New Roman" w:hAnsi="Times New Roman" w:cs="Times New Roman"/>
          <w:sz w:val="24"/>
          <w:szCs w:val="24"/>
        </w:rPr>
        <w:t xml:space="preserve">При наличии в штате Участника сертифицированных сотрудников </w:t>
      </w:r>
      <w:r w:rsidRPr="00584581">
        <w:rPr>
          <w:rFonts w:ascii="Times New Roman" w:hAnsi="Times New Roman" w:cs="Times New Roman"/>
          <w:sz w:val="24"/>
          <w:szCs w:val="24"/>
        </w:rPr>
        <w:t>по пяти и менее</w:t>
      </w:r>
      <w:r w:rsidRPr="00584581">
        <w:rPr>
          <w:rFonts w:ascii="Times New Roman" w:hAnsi="Times New Roman" w:cs="Times New Roman"/>
          <w:sz w:val="24"/>
          <w:szCs w:val="24"/>
        </w:rPr>
        <w:t xml:space="preserve"> из вышеперечисленных направлений Участнику присваивается -</w:t>
      </w:r>
      <w:r w:rsidRPr="00584581">
        <w:rPr>
          <w:rFonts w:ascii="Times New Roman" w:hAnsi="Times New Roman" w:cs="Times New Roman"/>
          <w:b/>
          <w:sz w:val="24"/>
          <w:szCs w:val="24"/>
        </w:rPr>
        <w:t xml:space="preserve"> 0 баллов.</w:t>
      </w:r>
    </w:p>
    <w:p w:rsidR="005972A1" w:rsidRDefault="005972A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972A1" w:rsidRDefault="005972A1">
      <w:pPr>
        <w:shd w:val="clear" w:color="auto" w:fill="FFFFFF" w:themeFill="background1"/>
        <w:spacing w:after="0" w:line="240" w:lineRule="auto"/>
        <w:ind w:right="3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972A1" w:rsidRDefault="005972A1"/>
    <w:p w:rsidR="005972A1" w:rsidRDefault="005972A1"/>
    <w:sectPr w:rsidR="005972A1">
      <w:footerReference w:type="default" r:id="rId9"/>
      <w:pgSz w:w="11906" w:h="16838"/>
      <w:pgMar w:top="993" w:right="567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2DB" w:rsidRDefault="00D512DB">
      <w:pPr>
        <w:spacing w:after="0" w:line="240" w:lineRule="auto"/>
      </w:pPr>
      <w:r>
        <w:separator/>
      </w:r>
    </w:p>
  </w:endnote>
  <w:endnote w:type="continuationSeparator" w:id="0">
    <w:p w:rsidR="00D512DB" w:rsidRDefault="00D5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639723461"/>
      <w:docPartObj>
        <w:docPartGallery w:val="Page Numbers (Bottom of Page)"/>
        <w:docPartUnique/>
      </w:docPartObj>
    </w:sdtPr>
    <w:sdtEndPr/>
    <w:sdtContent>
      <w:p w:rsidR="005972A1" w:rsidRDefault="00D512DB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D05">
          <w:rPr>
            <w:rFonts w:ascii="Times New Roman" w:hAnsi="Times New Roman" w:cs="Times New Roman"/>
            <w:noProof/>
            <w:sz w:val="24"/>
            <w:szCs w:val="24"/>
          </w:rPr>
          <w:t>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5972A1" w:rsidRDefault="00D512DB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D05">
          <w:rPr>
            <w:rFonts w:ascii="Times New Roman" w:hAnsi="Times New Roman" w:cs="Times New Roman"/>
            <w:noProof/>
            <w:sz w:val="24"/>
            <w:szCs w:val="24"/>
          </w:rPr>
          <w:t>6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2DB" w:rsidRDefault="00D512DB">
      <w:pPr>
        <w:spacing w:after="0" w:line="240" w:lineRule="auto"/>
      </w:pPr>
      <w:r>
        <w:separator/>
      </w:r>
    </w:p>
  </w:footnote>
  <w:footnote w:type="continuationSeparator" w:id="0">
    <w:p w:rsidR="00D512DB" w:rsidRDefault="00D51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79BC"/>
    <w:multiLevelType w:val="hybridMultilevel"/>
    <w:tmpl w:val="C5F82D1E"/>
    <w:lvl w:ilvl="0" w:tplc="59FCB0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D275E8">
      <w:start w:val="1"/>
      <w:numFmt w:val="bullet"/>
      <w:lvlText w:val=""/>
      <w:lvlJc w:val="left"/>
      <w:pPr>
        <w:ind w:left="8157" w:hanging="360"/>
      </w:pPr>
      <w:rPr>
        <w:rFonts w:ascii="Symbol" w:hAnsi="Symbol" w:hint="default"/>
      </w:rPr>
    </w:lvl>
    <w:lvl w:ilvl="2" w:tplc="DD1AE8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44D2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A4EA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DE94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A20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78AA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CEA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E3D7B"/>
    <w:multiLevelType w:val="hybridMultilevel"/>
    <w:tmpl w:val="D404359C"/>
    <w:lvl w:ilvl="0" w:tplc="33B4CF9E">
      <w:start w:val="1"/>
      <w:numFmt w:val="decimal"/>
      <w:lvlText w:val="2.%1"/>
      <w:lvlJc w:val="left"/>
      <w:pPr>
        <w:ind w:left="1353" w:hanging="360"/>
      </w:pPr>
      <w:rPr>
        <w:rFonts w:hint="default"/>
        <w:b/>
      </w:rPr>
    </w:lvl>
    <w:lvl w:ilvl="1" w:tplc="93FA862A">
      <w:start w:val="1"/>
      <w:numFmt w:val="lowerLetter"/>
      <w:lvlText w:val="%2."/>
      <w:lvlJc w:val="left"/>
      <w:pPr>
        <w:ind w:left="1364" w:hanging="360"/>
      </w:pPr>
    </w:lvl>
    <w:lvl w:ilvl="2" w:tplc="78C81210">
      <w:start w:val="1"/>
      <w:numFmt w:val="lowerRoman"/>
      <w:lvlText w:val="%3."/>
      <w:lvlJc w:val="right"/>
      <w:pPr>
        <w:ind w:left="2084" w:hanging="180"/>
      </w:pPr>
    </w:lvl>
    <w:lvl w:ilvl="3" w:tplc="6A2CACCA">
      <w:start w:val="1"/>
      <w:numFmt w:val="decimal"/>
      <w:lvlText w:val="%4."/>
      <w:lvlJc w:val="left"/>
      <w:pPr>
        <w:ind w:left="2804" w:hanging="360"/>
      </w:pPr>
    </w:lvl>
    <w:lvl w:ilvl="4" w:tplc="4E464312">
      <w:start w:val="1"/>
      <w:numFmt w:val="lowerLetter"/>
      <w:lvlText w:val="%5."/>
      <w:lvlJc w:val="left"/>
      <w:pPr>
        <w:ind w:left="3524" w:hanging="360"/>
      </w:pPr>
    </w:lvl>
    <w:lvl w:ilvl="5" w:tplc="6E8C7B82">
      <w:start w:val="1"/>
      <w:numFmt w:val="lowerRoman"/>
      <w:lvlText w:val="%6."/>
      <w:lvlJc w:val="right"/>
      <w:pPr>
        <w:ind w:left="4244" w:hanging="180"/>
      </w:pPr>
    </w:lvl>
    <w:lvl w:ilvl="6" w:tplc="A9F8371C">
      <w:start w:val="1"/>
      <w:numFmt w:val="decimal"/>
      <w:lvlText w:val="%7."/>
      <w:lvlJc w:val="left"/>
      <w:pPr>
        <w:ind w:left="4964" w:hanging="360"/>
      </w:pPr>
    </w:lvl>
    <w:lvl w:ilvl="7" w:tplc="98789DBE">
      <w:start w:val="1"/>
      <w:numFmt w:val="lowerLetter"/>
      <w:lvlText w:val="%8."/>
      <w:lvlJc w:val="left"/>
      <w:pPr>
        <w:ind w:left="5684" w:hanging="360"/>
      </w:pPr>
    </w:lvl>
    <w:lvl w:ilvl="8" w:tplc="F2CC2262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006D43"/>
    <w:multiLevelType w:val="hybridMultilevel"/>
    <w:tmpl w:val="0150BA5C"/>
    <w:lvl w:ilvl="0" w:tplc="F1B8E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C561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AE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4A04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21F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47E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1887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864F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6A8B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0764C"/>
    <w:multiLevelType w:val="hybridMultilevel"/>
    <w:tmpl w:val="233C0198"/>
    <w:lvl w:ilvl="0" w:tplc="79B82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3D693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82B4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A4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80CF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4A1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41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9ED0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AA32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03332"/>
    <w:multiLevelType w:val="hybridMultilevel"/>
    <w:tmpl w:val="8B02315C"/>
    <w:lvl w:ilvl="0" w:tplc="F80A2822">
      <w:start w:val="1"/>
      <w:numFmt w:val="decimal"/>
      <w:lvlText w:val="%1."/>
      <w:lvlJc w:val="left"/>
      <w:pPr>
        <w:ind w:left="1069" w:hanging="360"/>
      </w:pPr>
    </w:lvl>
    <w:lvl w:ilvl="1" w:tplc="1C4AB660">
      <w:start w:val="1"/>
      <w:numFmt w:val="lowerLetter"/>
      <w:lvlText w:val="%2."/>
      <w:lvlJc w:val="left"/>
      <w:pPr>
        <w:ind w:left="1800" w:hanging="360"/>
      </w:pPr>
    </w:lvl>
    <w:lvl w:ilvl="2" w:tplc="1B725C38">
      <w:start w:val="1"/>
      <w:numFmt w:val="lowerRoman"/>
      <w:lvlText w:val="%3."/>
      <w:lvlJc w:val="right"/>
      <w:pPr>
        <w:ind w:left="2520" w:hanging="180"/>
      </w:pPr>
    </w:lvl>
    <w:lvl w:ilvl="3" w:tplc="6CDCA86A">
      <w:start w:val="1"/>
      <w:numFmt w:val="decimal"/>
      <w:lvlText w:val="%4."/>
      <w:lvlJc w:val="left"/>
      <w:pPr>
        <w:ind w:left="3240" w:hanging="360"/>
      </w:pPr>
    </w:lvl>
    <w:lvl w:ilvl="4" w:tplc="8AFC7F16">
      <w:start w:val="1"/>
      <w:numFmt w:val="lowerLetter"/>
      <w:lvlText w:val="%5."/>
      <w:lvlJc w:val="left"/>
      <w:pPr>
        <w:ind w:left="3960" w:hanging="360"/>
      </w:pPr>
    </w:lvl>
    <w:lvl w:ilvl="5" w:tplc="02F84CA6">
      <w:start w:val="1"/>
      <w:numFmt w:val="lowerRoman"/>
      <w:lvlText w:val="%6."/>
      <w:lvlJc w:val="right"/>
      <w:pPr>
        <w:ind w:left="4680" w:hanging="180"/>
      </w:pPr>
    </w:lvl>
    <w:lvl w:ilvl="6" w:tplc="E5A8FC3E">
      <w:start w:val="1"/>
      <w:numFmt w:val="decimal"/>
      <w:lvlText w:val="%7."/>
      <w:lvlJc w:val="left"/>
      <w:pPr>
        <w:ind w:left="5400" w:hanging="360"/>
      </w:pPr>
    </w:lvl>
    <w:lvl w:ilvl="7" w:tplc="6F50E382">
      <w:start w:val="1"/>
      <w:numFmt w:val="lowerLetter"/>
      <w:lvlText w:val="%8."/>
      <w:lvlJc w:val="left"/>
      <w:pPr>
        <w:ind w:left="6120" w:hanging="360"/>
      </w:pPr>
    </w:lvl>
    <w:lvl w:ilvl="8" w:tplc="9AAAF624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0B46FD"/>
    <w:multiLevelType w:val="hybridMultilevel"/>
    <w:tmpl w:val="2830106C"/>
    <w:lvl w:ilvl="0" w:tplc="6D6665D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F346A5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D2881B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7BA7C5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490676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4CE832E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AC8ECE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9FA0AA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E4A7E0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5FC4125"/>
    <w:multiLevelType w:val="hybridMultilevel"/>
    <w:tmpl w:val="B8727BEA"/>
    <w:lvl w:ilvl="0" w:tplc="671ABB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/>
      </w:rPr>
    </w:lvl>
    <w:lvl w:ilvl="1" w:tplc="1D78EFDC">
      <w:start w:val="1"/>
      <w:numFmt w:val="lowerLetter"/>
      <w:lvlText w:val="%2."/>
      <w:lvlJc w:val="left"/>
      <w:pPr>
        <w:ind w:left="939" w:hanging="360"/>
      </w:pPr>
    </w:lvl>
    <w:lvl w:ilvl="2" w:tplc="94AE3EA6">
      <w:start w:val="1"/>
      <w:numFmt w:val="lowerRoman"/>
      <w:lvlText w:val="%3."/>
      <w:lvlJc w:val="right"/>
      <w:pPr>
        <w:ind w:left="1659" w:hanging="180"/>
      </w:pPr>
    </w:lvl>
    <w:lvl w:ilvl="3" w:tplc="C7DCEA2A">
      <w:start w:val="1"/>
      <w:numFmt w:val="decimal"/>
      <w:lvlText w:val="%4."/>
      <w:lvlJc w:val="left"/>
      <w:pPr>
        <w:ind w:left="2379" w:hanging="360"/>
      </w:pPr>
    </w:lvl>
    <w:lvl w:ilvl="4" w:tplc="DFEE29DA">
      <w:start w:val="1"/>
      <w:numFmt w:val="lowerLetter"/>
      <w:lvlText w:val="%5."/>
      <w:lvlJc w:val="left"/>
      <w:pPr>
        <w:ind w:left="3099" w:hanging="360"/>
      </w:pPr>
    </w:lvl>
    <w:lvl w:ilvl="5" w:tplc="F3689E62">
      <w:start w:val="1"/>
      <w:numFmt w:val="lowerRoman"/>
      <w:lvlText w:val="%6."/>
      <w:lvlJc w:val="right"/>
      <w:pPr>
        <w:ind w:left="3819" w:hanging="180"/>
      </w:pPr>
    </w:lvl>
    <w:lvl w:ilvl="6" w:tplc="9E607288">
      <w:start w:val="1"/>
      <w:numFmt w:val="decimal"/>
      <w:lvlText w:val="%7."/>
      <w:lvlJc w:val="left"/>
      <w:pPr>
        <w:ind w:left="4539" w:hanging="360"/>
      </w:pPr>
    </w:lvl>
    <w:lvl w:ilvl="7" w:tplc="2A3CCC32">
      <w:start w:val="1"/>
      <w:numFmt w:val="lowerLetter"/>
      <w:lvlText w:val="%8."/>
      <w:lvlJc w:val="left"/>
      <w:pPr>
        <w:ind w:left="5259" w:hanging="360"/>
      </w:pPr>
    </w:lvl>
    <w:lvl w:ilvl="8" w:tplc="0E40F676">
      <w:start w:val="1"/>
      <w:numFmt w:val="lowerRoman"/>
      <w:lvlText w:val="%9."/>
      <w:lvlJc w:val="right"/>
      <w:pPr>
        <w:ind w:left="5979" w:hanging="180"/>
      </w:pPr>
    </w:lvl>
  </w:abstractNum>
  <w:abstractNum w:abstractNumId="7" w15:restartNumberingAfterBreak="0">
    <w:nsid w:val="3BE57722"/>
    <w:multiLevelType w:val="hybridMultilevel"/>
    <w:tmpl w:val="5024F11E"/>
    <w:lvl w:ilvl="0" w:tplc="A5705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A9264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DC92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60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EC88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96F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884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5EC5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E47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C521F"/>
    <w:multiLevelType w:val="hybridMultilevel"/>
    <w:tmpl w:val="7E0E3DFC"/>
    <w:lvl w:ilvl="0" w:tplc="66CADA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C19E4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940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183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EF1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726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2D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8402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04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F31413"/>
    <w:multiLevelType w:val="hybridMultilevel"/>
    <w:tmpl w:val="BCC210E0"/>
    <w:lvl w:ilvl="0" w:tplc="BA0E3774">
      <w:start w:val="1"/>
      <w:numFmt w:val="decimal"/>
      <w:lvlText w:val="%1."/>
      <w:lvlJc w:val="left"/>
      <w:pPr>
        <w:ind w:left="1429" w:hanging="360"/>
      </w:pPr>
    </w:lvl>
    <w:lvl w:ilvl="1" w:tplc="B33A40E0">
      <w:start w:val="1"/>
      <w:numFmt w:val="lowerLetter"/>
      <w:lvlText w:val="%2."/>
      <w:lvlJc w:val="left"/>
      <w:pPr>
        <w:ind w:left="2149" w:hanging="360"/>
      </w:pPr>
    </w:lvl>
    <w:lvl w:ilvl="2" w:tplc="1CC6176A">
      <w:start w:val="1"/>
      <w:numFmt w:val="lowerRoman"/>
      <w:lvlText w:val="%3."/>
      <w:lvlJc w:val="right"/>
      <w:pPr>
        <w:ind w:left="2869" w:hanging="180"/>
      </w:pPr>
    </w:lvl>
    <w:lvl w:ilvl="3" w:tplc="B3EE50B4">
      <w:start w:val="1"/>
      <w:numFmt w:val="decimal"/>
      <w:lvlText w:val="%4."/>
      <w:lvlJc w:val="left"/>
      <w:pPr>
        <w:ind w:left="3589" w:hanging="360"/>
      </w:pPr>
    </w:lvl>
    <w:lvl w:ilvl="4" w:tplc="5C823B42">
      <w:start w:val="1"/>
      <w:numFmt w:val="lowerLetter"/>
      <w:lvlText w:val="%5."/>
      <w:lvlJc w:val="left"/>
      <w:pPr>
        <w:ind w:left="4309" w:hanging="360"/>
      </w:pPr>
    </w:lvl>
    <w:lvl w:ilvl="5" w:tplc="B6902F7E">
      <w:start w:val="1"/>
      <w:numFmt w:val="lowerRoman"/>
      <w:lvlText w:val="%6."/>
      <w:lvlJc w:val="right"/>
      <w:pPr>
        <w:ind w:left="5029" w:hanging="180"/>
      </w:pPr>
    </w:lvl>
    <w:lvl w:ilvl="6" w:tplc="790E9A64">
      <w:start w:val="1"/>
      <w:numFmt w:val="decimal"/>
      <w:lvlText w:val="%7."/>
      <w:lvlJc w:val="left"/>
      <w:pPr>
        <w:ind w:left="5749" w:hanging="360"/>
      </w:pPr>
    </w:lvl>
    <w:lvl w:ilvl="7" w:tplc="7BC49BD2">
      <w:start w:val="1"/>
      <w:numFmt w:val="lowerLetter"/>
      <w:lvlText w:val="%8."/>
      <w:lvlJc w:val="left"/>
      <w:pPr>
        <w:ind w:left="6469" w:hanging="360"/>
      </w:pPr>
    </w:lvl>
    <w:lvl w:ilvl="8" w:tplc="498629F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B1D2FD9"/>
    <w:multiLevelType w:val="hybridMultilevel"/>
    <w:tmpl w:val="97C26720"/>
    <w:lvl w:ilvl="0" w:tplc="98C8AD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9A2B460">
      <w:start w:val="1"/>
      <w:numFmt w:val="lowerLetter"/>
      <w:lvlText w:val="%2."/>
      <w:lvlJc w:val="left"/>
      <w:pPr>
        <w:ind w:left="1440" w:hanging="360"/>
      </w:pPr>
    </w:lvl>
    <w:lvl w:ilvl="2" w:tplc="4F68DF60">
      <w:start w:val="1"/>
      <w:numFmt w:val="lowerRoman"/>
      <w:lvlText w:val="%3."/>
      <w:lvlJc w:val="right"/>
      <w:pPr>
        <w:ind w:left="2160" w:hanging="180"/>
      </w:pPr>
    </w:lvl>
    <w:lvl w:ilvl="3" w:tplc="292E0CB8">
      <w:start w:val="1"/>
      <w:numFmt w:val="decimal"/>
      <w:lvlText w:val="%4."/>
      <w:lvlJc w:val="left"/>
      <w:pPr>
        <w:ind w:left="2880" w:hanging="360"/>
      </w:pPr>
    </w:lvl>
    <w:lvl w:ilvl="4" w:tplc="62FCD69C">
      <w:start w:val="1"/>
      <w:numFmt w:val="lowerLetter"/>
      <w:lvlText w:val="%5."/>
      <w:lvlJc w:val="left"/>
      <w:pPr>
        <w:ind w:left="3600" w:hanging="360"/>
      </w:pPr>
    </w:lvl>
    <w:lvl w:ilvl="5" w:tplc="CFB84FA8">
      <w:start w:val="1"/>
      <w:numFmt w:val="lowerRoman"/>
      <w:lvlText w:val="%6."/>
      <w:lvlJc w:val="right"/>
      <w:pPr>
        <w:ind w:left="4320" w:hanging="180"/>
      </w:pPr>
    </w:lvl>
    <w:lvl w:ilvl="6" w:tplc="6BC618FC">
      <w:start w:val="1"/>
      <w:numFmt w:val="decimal"/>
      <w:lvlText w:val="%7."/>
      <w:lvlJc w:val="left"/>
      <w:pPr>
        <w:ind w:left="5040" w:hanging="360"/>
      </w:pPr>
    </w:lvl>
    <w:lvl w:ilvl="7" w:tplc="D03ABDB8">
      <w:start w:val="1"/>
      <w:numFmt w:val="lowerLetter"/>
      <w:lvlText w:val="%8."/>
      <w:lvlJc w:val="left"/>
      <w:pPr>
        <w:ind w:left="5760" w:hanging="360"/>
      </w:pPr>
    </w:lvl>
    <w:lvl w:ilvl="8" w:tplc="D9E6F88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D4A8D"/>
    <w:multiLevelType w:val="hybridMultilevel"/>
    <w:tmpl w:val="79CC0F10"/>
    <w:lvl w:ilvl="0" w:tplc="2940C6D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B154546A">
      <w:start w:val="1"/>
      <w:numFmt w:val="lowerLetter"/>
      <w:lvlText w:val="%2."/>
      <w:lvlJc w:val="left"/>
      <w:pPr>
        <w:ind w:left="1440" w:hanging="360"/>
      </w:pPr>
    </w:lvl>
    <w:lvl w:ilvl="2" w:tplc="CFE65CCC">
      <w:start w:val="1"/>
      <w:numFmt w:val="lowerRoman"/>
      <w:lvlText w:val="%3."/>
      <w:lvlJc w:val="right"/>
      <w:pPr>
        <w:ind w:left="2160" w:hanging="180"/>
      </w:pPr>
    </w:lvl>
    <w:lvl w:ilvl="3" w:tplc="96DCFEB8">
      <w:start w:val="1"/>
      <w:numFmt w:val="decimal"/>
      <w:lvlText w:val="%4."/>
      <w:lvlJc w:val="left"/>
      <w:pPr>
        <w:ind w:left="2880" w:hanging="360"/>
      </w:pPr>
    </w:lvl>
    <w:lvl w:ilvl="4" w:tplc="A732AE16">
      <w:start w:val="1"/>
      <w:numFmt w:val="lowerLetter"/>
      <w:lvlText w:val="%5."/>
      <w:lvlJc w:val="left"/>
      <w:pPr>
        <w:ind w:left="3600" w:hanging="360"/>
      </w:pPr>
    </w:lvl>
    <w:lvl w:ilvl="5" w:tplc="F30CCD66">
      <w:start w:val="1"/>
      <w:numFmt w:val="lowerRoman"/>
      <w:lvlText w:val="%6."/>
      <w:lvlJc w:val="right"/>
      <w:pPr>
        <w:ind w:left="4320" w:hanging="180"/>
      </w:pPr>
    </w:lvl>
    <w:lvl w:ilvl="6" w:tplc="3DE63196">
      <w:start w:val="1"/>
      <w:numFmt w:val="decimal"/>
      <w:lvlText w:val="%7."/>
      <w:lvlJc w:val="left"/>
      <w:pPr>
        <w:ind w:left="5040" w:hanging="360"/>
      </w:pPr>
    </w:lvl>
    <w:lvl w:ilvl="7" w:tplc="BF58213C">
      <w:start w:val="1"/>
      <w:numFmt w:val="lowerLetter"/>
      <w:lvlText w:val="%8."/>
      <w:lvlJc w:val="left"/>
      <w:pPr>
        <w:ind w:left="5760" w:hanging="360"/>
      </w:pPr>
    </w:lvl>
    <w:lvl w:ilvl="8" w:tplc="62FCF3D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D54AA"/>
    <w:multiLevelType w:val="multilevel"/>
    <w:tmpl w:val="18E6B3E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13" w15:restartNumberingAfterBreak="0">
    <w:nsid w:val="798B1BC3"/>
    <w:multiLevelType w:val="hybridMultilevel"/>
    <w:tmpl w:val="7AF2204C"/>
    <w:lvl w:ilvl="0" w:tplc="7884F8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2F149C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A25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0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A651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A893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C07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FCE1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44D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4"/>
  </w:num>
  <w:num w:numId="5">
    <w:abstractNumId w:val="9"/>
  </w:num>
  <w:num w:numId="6">
    <w:abstractNumId w:val="12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A1"/>
    <w:rsid w:val="00347A10"/>
    <w:rsid w:val="00362264"/>
    <w:rsid w:val="005155EF"/>
    <w:rsid w:val="00584581"/>
    <w:rsid w:val="005972A1"/>
    <w:rsid w:val="00606DBD"/>
    <w:rsid w:val="006D54BB"/>
    <w:rsid w:val="007E5839"/>
    <w:rsid w:val="00970D05"/>
    <w:rsid w:val="00A17B42"/>
    <w:rsid w:val="00AB311C"/>
    <w:rsid w:val="00B22E36"/>
    <w:rsid w:val="00D512DB"/>
    <w:rsid w:val="00D8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EA1A2-60DC-4A13-982C-0B1C2A11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  <w:pPr>
      <w:spacing w:after="0"/>
    </w:p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paragraph" w:styleId="af0">
    <w:name w:val="List Paragraph"/>
    <w:basedOn w:val="a"/>
    <w:link w:val="af1"/>
    <w:uiPriority w:val="99"/>
    <w:qFormat/>
    <w:pPr>
      <w:ind w:left="720"/>
      <w:contextualSpacing/>
    </w:pPr>
  </w:style>
  <w:style w:type="character" w:styleId="af2">
    <w:name w:val="Placeholder Text"/>
    <w:basedOn w:val="a0"/>
    <w:uiPriority w:val="99"/>
    <w:semiHidden/>
    <w:rPr>
      <w:color w:val="808080"/>
    </w:rPr>
  </w:style>
  <w:style w:type="paragraph" w:styleId="af3">
    <w:name w:val="header"/>
    <w:basedOn w:val="a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</w:style>
  <w:style w:type="paragraph" w:styleId="af5">
    <w:name w:val="foot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customStyle="1" w:styleId="afd">
    <w:name w:val="Стиль номер обычный"/>
    <w:basedOn w:val="25"/>
    <w:qFormat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5">
    <w:name w:val="List Continue 2"/>
    <w:basedOn w:val="a"/>
    <w:uiPriority w:val="99"/>
    <w:semiHidden/>
    <w:unhideWhenUsed/>
    <w:pPr>
      <w:spacing w:after="120"/>
      <w:ind w:left="566"/>
      <w:contextualSpacing/>
    </w:p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b/>
      <w:bCs/>
      <w:sz w:val="20"/>
      <w:szCs w:val="20"/>
    </w:rPr>
  </w:style>
  <w:style w:type="character" w:styleId="aff3">
    <w:name w:val="Hyperlink"/>
    <w:uiPriority w:val="99"/>
    <w:rPr>
      <w:color w:val="auto"/>
      <w:u w:val="single"/>
    </w:rPr>
  </w:style>
  <w:style w:type="character" w:customStyle="1" w:styleId="af1">
    <w:name w:val="Абзац списка Знак"/>
    <w:basedOn w:val="a0"/>
    <w:link w:val="af0"/>
    <w:uiPriority w:val="99"/>
  </w:style>
  <w:style w:type="character" w:customStyle="1" w:styleId="FontStyle18">
    <w:name w:val="Font Style18"/>
    <w:rPr>
      <w:rFonts w:ascii="Times New Roman" w:hAnsi="Times New Roman" w:cs="Times New Roman" w:hint="default"/>
      <w:b/>
      <w:bCs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A32F-E468-44F4-8584-5CDA584E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2898</Words>
  <Characters>16522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Филиппов Антон Германович</dc:creator>
  <cp:lastModifiedBy>Серенков Дмитрий Васильевич</cp:lastModifiedBy>
  <cp:revision>6</cp:revision>
  <cp:lastPrinted>2024-12-12T12:46:00Z</cp:lastPrinted>
  <dcterms:created xsi:type="dcterms:W3CDTF">2024-12-12T11:09:00Z</dcterms:created>
  <dcterms:modified xsi:type="dcterms:W3CDTF">2024-12-12T12:46:00Z</dcterms:modified>
</cp:coreProperties>
</file>