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C070B" w:rsidRDefault="004E0E2A" w:rsidP="00E27883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07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6C01A7" w:rsidRPr="006C01A7" w:rsidRDefault="00FD4F0C" w:rsidP="006C01A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к Документации</w:t>
      </w:r>
      <w:r w:rsidR="006C01A7" w:rsidRPr="006C01A7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 xml:space="preserve"> о маркетинговых исследованиях № 25_ГТБеларусь_МИ_4.5_058_1213_5.2_018 (№1001566182)</w:t>
      </w:r>
    </w:p>
    <w:p w:rsidR="006C01A7" w:rsidRPr="006C01A7" w:rsidRDefault="006C01A7" w:rsidP="006C01A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C01A7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(номер закупки в Плане Группы Газпром 25/4.5/0021710/ГТБ)</w:t>
      </w:r>
    </w:p>
    <w:p w:rsidR="00094A39" w:rsidRDefault="00094A39" w:rsidP="00094A39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A39" w:rsidRPr="00E72C2E" w:rsidRDefault="00094A39" w:rsidP="00094A39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C2E">
        <w:rPr>
          <w:rFonts w:ascii="Times New Roman" w:hAnsi="Times New Roman" w:cs="Times New Roman"/>
          <w:b/>
          <w:sz w:val="24"/>
          <w:szCs w:val="24"/>
        </w:rPr>
        <w:t xml:space="preserve">Критерии </w:t>
      </w:r>
      <w:r>
        <w:rPr>
          <w:rFonts w:ascii="Times New Roman" w:hAnsi="Times New Roman" w:cs="Times New Roman"/>
          <w:b/>
          <w:sz w:val="24"/>
          <w:szCs w:val="24"/>
        </w:rPr>
        <w:t xml:space="preserve">выбора </w:t>
      </w:r>
      <w:r w:rsidRPr="00E72C2E">
        <w:rPr>
          <w:rFonts w:ascii="Times New Roman" w:hAnsi="Times New Roman" w:cs="Times New Roman"/>
          <w:b/>
          <w:sz w:val="24"/>
          <w:szCs w:val="24"/>
        </w:rPr>
        <w:t>договоров,</w:t>
      </w:r>
    </w:p>
    <w:p w:rsidR="00094A39" w:rsidRPr="00E72C2E" w:rsidRDefault="00094A39" w:rsidP="00094A39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C2E">
        <w:rPr>
          <w:rFonts w:ascii="Times New Roman" w:hAnsi="Times New Roman" w:cs="Times New Roman"/>
          <w:b/>
          <w:sz w:val="24"/>
          <w:szCs w:val="24"/>
        </w:rPr>
        <w:t>подлежащих банковскому сопровождению</w:t>
      </w:r>
    </w:p>
    <w:tbl>
      <w:tblPr>
        <w:tblpPr w:leftFromText="180" w:rightFromText="180" w:vertAnchor="page" w:horzAnchor="margin" w:tblpY="2782"/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467"/>
        <w:gridCol w:w="3812"/>
        <w:gridCol w:w="3679"/>
      </w:tblGrid>
      <w:tr w:rsidR="00094A39" w:rsidRPr="00044A7E" w:rsidTr="008234C4">
        <w:trPr>
          <w:cantSplit/>
          <w:trHeight w:val="284"/>
        </w:trPr>
        <w:tc>
          <w:tcPr>
            <w:tcW w:w="617" w:type="dxa"/>
            <w:shd w:val="clear" w:color="auto" w:fill="auto"/>
            <w:vAlign w:val="center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67" w:type="dxa"/>
            <w:shd w:val="clear" w:color="auto" w:fill="auto"/>
            <w:vAlign w:val="center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критерия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Банковское сопровождение</w:t>
            </w:r>
          </w:p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не применяется</w:t>
            </w:r>
          </w:p>
        </w:tc>
        <w:tc>
          <w:tcPr>
            <w:tcW w:w="3679" w:type="dxa"/>
            <w:shd w:val="clear" w:color="auto" w:fill="auto"/>
            <w:vAlign w:val="center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Банковское сопровождение применяется</w:t>
            </w:r>
          </w:p>
        </w:tc>
      </w:tr>
      <w:tr w:rsidR="00094A39" w:rsidRPr="00044A7E" w:rsidTr="008234C4">
        <w:trPr>
          <w:cantSplit/>
          <w:trHeight w:val="415"/>
        </w:trPr>
        <w:tc>
          <w:tcPr>
            <w:tcW w:w="617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Сумма договора</w:t>
            </w:r>
          </w:p>
        </w:tc>
        <w:tc>
          <w:tcPr>
            <w:tcW w:w="3812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 xml:space="preserve">Если сумма договора меньше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суммы, 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 xml:space="preserve">указанной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аблице «Стоимостные критерии».</w:t>
            </w:r>
          </w:p>
        </w:tc>
        <w:tc>
          <w:tcPr>
            <w:tcW w:w="3679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 xml:space="preserve">Если сумма договора больше или равна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сумме, 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 xml:space="preserve">указанной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аблице «Стоимостные критерии».</w:t>
            </w:r>
          </w:p>
        </w:tc>
      </w:tr>
      <w:tr w:rsidR="00094A39" w:rsidRPr="00044A7E" w:rsidTr="008234C4">
        <w:trPr>
          <w:cantSplit/>
          <w:trHeight w:val="2564"/>
        </w:trPr>
        <w:tc>
          <w:tcPr>
            <w:tcW w:w="617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Исполнитель по договору</w:t>
            </w:r>
          </w:p>
        </w:tc>
        <w:tc>
          <w:tcPr>
            <w:tcW w:w="3812" w:type="dxa"/>
            <w:shd w:val="clear" w:color="auto" w:fill="auto"/>
          </w:tcPr>
          <w:p w:rsidR="00094A39" w:rsidRPr="00E72C2E" w:rsidRDefault="00094A39" w:rsidP="00094A39">
            <w:pPr>
              <w:pStyle w:val="ac"/>
              <w:numPr>
                <w:ilvl w:val="0"/>
                <w:numId w:val="5"/>
              </w:numPr>
              <w:spacing w:after="0" w:line="240" w:lineRule="auto"/>
              <w:ind w:left="0" w:hanging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C2E">
              <w:rPr>
                <w:rFonts w:ascii="Times New Roman" w:hAnsi="Times New Roman"/>
                <w:sz w:val="20"/>
                <w:szCs w:val="20"/>
              </w:rPr>
              <w:t>Если Исполнитель по договору – индивидуальный предприниматель, физическое лицо.</w:t>
            </w:r>
          </w:p>
          <w:p w:rsidR="00094A39" w:rsidRPr="00E72C2E" w:rsidRDefault="00094A39" w:rsidP="00094A39">
            <w:pPr>
              <w:pStyle w:val="ac"/>
              <w:numPr>
                <w:ilvl w:val="0"/>
                <w:numId w:val="5"/>
              </w:numPr>
              <w:spacing w:after="0" w:line="240" w:lineRule="auto"/>
              <w:ind w:left="0" w:hanging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C2E">
              <w:rPr>
                <w:rFonts w:ascii="Times New Roman" w:hAnsi="Times New Roman"/>
                <w:sz w:val="20"/>
                <w:szCs w:val="20"/>
              </w:rPr>
              <w:t>Если в договоре на выполнени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 xml:space="preserve"> работ/оказани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 xml:space="preserve"> услуг установлена обязанность Исполнителя о личном выполнении таких работ/оказании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>не мене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 xml:space="preserve"> 90% от общего объема (для договоров, предметом которых является выполнение работ/оказание услуг).</w:t>
            </w:r>
          </w:p>
          <w:p w:rsidR="00094A39" w:rsidRPr="00E72C2E" w:rsidRDefault="00094A39" w:rsidP="00094A39">
            <w:pPr>
              <w:pStyle w:val="ac"/>
              <w:numPr>
                <w:ilvl w:val="0"/>
                <w:numId w:val="5"/>
              </w:numPr>
              <w:spacing w:after="0" w:line="240" w:lineRule="auto"/>
              <w:ind w:left="0" w:hanging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C2E">
              <w:rPr>
                <w:rFonts w:ascii="Times New Roman" w:hAnsi="Times New Roman"/>
                <w:sz w:val="20"/>
                <w:szCs w:val="20"/>
              </w:rPr>
              <w:t xml:space="preserve">Если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 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>по договору закупки МТР является непосредственным изготовителем</w:t>
            </w:r>
            <w:r w:rsidRPr="00E72C2E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1"/>
            </w:r>
            <w:r w:rsidRPr="00E72C2E">
              <w:rPr>
                <w:rFonts w:ascii="Times New Roman" w:hAnsi="Times New Roman"/>
                <w:sz w:val="20"/>
                <w:szCs w:val="20"/>
              </w:rPr>
              <w:t xml:space="preserve"> всего объема товаров, поставляемых в соотв</w:t>
            </w:r>
            <w:r>
              <w:rPr>
                <w:rFonts w:ascii="Times New Roman" w:hAnsi="Times New Roman"/>
                <w:sz w:val="20"/>
                <w:szCs w:val="20"/>
              </w:rPr>
              <w:t>етствии с договором поставки. (п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 xml:space="preserve">рименим только для договоров, предметом которых является поставка </w:t>
            </w:r>
            <w:r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679" w:type="dxa"/>
            <w:shd w:val="clear" w:color="auto" w:fill="auto"/>
          </w:tcPr>
          <w:p w:rsidR="00094A39" w:rsidRPr="00E72C2E" w:rsidRDefault="00094A39" w:rsidP="008234C4">
            <w:pPr>
              <w:pStyle w:val="ac"/>
              <w:numPr>
                <w:ilvl w:val="0"/>
                <w:numId w:val="4"/>
              </w:numPr>
              <w:spacing w:after="0" w:line="240" w:lineRule="auto"/>
              <w:ind w:left="0" w:hanging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C2E">
              <w:rPr>
                <w:rFonts w:ascii="Times New Roman" w:hAnsi="Times New Roman"/>
                <w:sz w:val="20"/>
                <w:szCs w:val="20"/>
              </w:rPr>
              <w:t>Исполнитель по договору – юридическое лицо.</w:t>
            </w:r>
          </w:p>
          <w:p w:rsidR="00094A39" w:rsidRPr="00E72C2E" w:rsidRDefault="00094A39" w:rsidP="008234C4">
            <w:pPr>
              <w:pStyle w:val="ac"/>
              <w:numPr>
                <w:ilvl w:val="0"/>
                <w:numId w:val="4"/>
              </w:numPr>
              <w:spacing w:after="0" w:line="240" w:lineRule="auto"/>
              <w:ind w:left="0" w:hanging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C2E">
              <w:rPr>
                <w:rFonts w:ascii="Times New Roman" w:hAnsi="Times New Roman"/>
                <w:sz w:val="20"/>
                <w:szCs w:val="20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услуг).</w:t>
            </w:r>
          </w:p>
          <w:p w:rsidR="00094A39" w:rsidRPr="00E72C2E" w:rsidRDefault="00094A39" w:rsidP="008234C4">
            <w:pPr>
              <w:pStyle w:val="ac"/>
              <w:numPr>
                <w:ilvl w:val="0"/>
                <w:numId w:val="4"/>
              </w:numPr>
              <w:spacing w:after="0" w:line="240" w:lineRule="auto"/>
              <w:ind w:left="0" w:hanging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C2E">
              <w:rPr>
                <w:rFonts w:ascii="Times New Roman" w:hAnsi="Times New Roman"/>
                <w:sz w:val="20"/>
                <w:szCs w:val="20"/>
              </w:rPr>
              <w:t>Исполнитель по договору не является непосредственным изготовителем</w:t>
            </w:r>
            <w:r w:rsidRPr="00552113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 xml:space="preserve"> всего объем</w:t>
            </w:r>
            <w:bookmarkStart w:id="0" w:name="_GoBack"/>
            <w:r w:rsidRPr="00E72C2E">
              <w:rPr>
                <w:rFonts w:ascii="Times New Roman" w:hAnsi="Times New Roman"/>
                <w:sz w:val="20"/>
                <w:szCs w:val="20"/>
              </w:rPr>
              <w:t>а</w:t>
            </w:r>
            <w:bookmarkEnd w:id="0"/>
            <w:r w:rsidRPr="00E72C2E">
              <w:rPr>
                <w:rFonts w:ascii="Times New Roman" w:hAnsi="Times New Roman"/>
                <w:sz w:val="20"/>
                <w:szCs w:val="20"/>
              </w:rPr>
              <w:t xml:space="preserve"> товаров, поставляемых в соответствии с договором (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 xml:space="preserve">рименим только для договоров, предметом которых является поставка </w:t>
            </w:r>
            <w:r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Pr="00E72C2E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094A39" w:rsidRPr="00044A7E" w:rsidTr="008234C4">
        <w:trPr>
          <w:cantSplit/>
          <w:trHeight w:val="364"/>
        </w:trPr>
        <w:tc>
          <w:tcPr>
            <w:tcW w:w="617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67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Статус договора</w:t>
            </w:r>
          </w:p>
        </w:tc>
        <w:tc>
          <w:tcPr>
            <w:tcW w:w="3812" w:type="dxa"/>
            <w:shd w:val="clear" w:color="auto" w:fill="auto"/>
          </w:tcPr>
          <w:p w:rsidR="00094A39" w:rsidRPr="00E72C2E" w:rsidRDefault="00094A39" w:rsidP="008234C4">
            <w:pPr>
              <w:spacing w:after="0" w:line="240" w:lineRule="auto"/>
              <w:ind w:hanging="25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Действующий договор.</w:t>
            </w:r>
          </w:p>
        </w:tc>
        <w:tc>
          <w:tcPr>
            <w:tcW w:w="3679" w:type="dxa"/>
            <w:shd w:val="clear" w:color="auto" w:fill="auto"/>
          </w:tcPr>
          <w:p w:rsidR="00094A39" w:rsidRPr="00E72C2E" w:rsidRDefault="00094A39" w:rsidP="008234C4">
            <w:pPr>
              <w:pStyle w:val="ac"/>
              <w:spacing w:after="0" w:line="240" w:lineRule="auto"/>
              <w:ind w:left="0" w:hanging="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2C2E">
              <w:rPr>
                <w:rFonts w:ascii="Times New Roman" w:hAnsi="Times New Roman"/>
                <w:sz w:val="20"/>
                <w:szCs w:val="20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094A39" w:rsidRPr="00044A7E" w:rsidRDefault="00094A39" w:rsidP="00094A39">
      <w:pPr>
        <w:spacing w:after="0" w:line="240" w:lineRule="auto"/>
        <w:ind w:firstLine="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361C56">
        <w:rPr>
          <w:rFonts w:ascii="Times New Roman" w:hAnsi="Times New Roman" w:cs="Times New Roman"/>
          <w:b/>
          <w:sz w:val="24"/>
          <w:szCs w:val="24"/>
        </w:rPr>
        <w:t>Таблица «Стоимостные критерии»</w:t>
      </w:r>
    </w:p>
    <w:tbl>
      <w:tblPr>
        <w:tblpPr w:leftFromText="180" w:rightFromText="180" w:vertAnchor="text" w:horzAnchor="margin" w:tblpY="260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4844"/>
        <w:gridCol w:w="4101"/>
      </w:tblGrid>
      <w:tr w:rsidR="00094A39" w:rsidRPr="00044A7E" w:rsidTr="008234C4">
        <w:trPr>
          <w:trHeight w:val="3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Вид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>Сумма договора (</w:t>
            </w:r>
            <w:r w:rsidRPr="00E72C2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r w:rsidRPr="00E72C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учетом налога на добавленную стоимость),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RUB</w:t>
            </w:r>
            <w:r w:rsidRPr="00E72C2E">
              <w:rPr>
                <w:rStyle w:val="a9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footnoteReference w:id="2"/>
            </w:r>
          </w:p>
        </w:tc>
      </w:tr>
      <w:tr w:rsidR="00094A39" w:rsidRPr="00044A7E" w:rsidTr="00094A39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09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9" w:rsidRPr="00E72C2E" w:rsidRDefault="00094A39" w:rsidP="00094A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Работы,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услуги за счет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Инвестпрограммы</w:t>
            </w:r>
            <w:proofErr w:type="spellEnd"/>
            <w:r w:rsidRPr="00E72C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150 000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</w:tr>
      <w:tr w:rsidR="00094A39" w:rsidRPr="00044A7E" w:rsidTr="00094A39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9" w:rsidRPr="00E72C2E" w:rsidRDefault="00094A39" w:rsidP="0009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9" w:rsidRPr="00E72C2E" w:rsidRDefault="00094A39" w:rsidP="0082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A39" w:rsidRPr="00044A7E" w:rsidTr="00094A3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09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9" w:rsidRPr="00E72C2E" w:rsidRDefault="00094A39" w:rsidP="0082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Работы по капитальному ремонту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50 000</w:t>
            </w:r>
            <w:r w:rsidRPr="00E72C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000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4A39" w:rsidRPr="00044A7E" w:rsidTr="00094A39">
        <w:trPr>
          <w:trHeight w:val="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09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9" w:rsidRPr="00E72C2E" w:rsidRDefault="00094A39" w:rsidP="0082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Услуги по диагностическому обследованию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20 000</w:t>
            </w:r>
            <w:r w:rsidRPr="00E72C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000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4A39" w:rsidRPr="00044A7E" w:rsidTr="00094A3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09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39" w:rsidRPr="00E72C2E" w:rsidRDefault="00094A39" w:rsidP="0082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аботы, услуги по техническому обслуживанию и текущему ремонту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A39" w:rsidRPr="00E72C2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10 000</w:t>
            </w:r>
            <w:r w:rsidRPr="00E72C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000</w:t>
            </w:r>
            <w:r w:rsidRPr="00E72C2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4A39" w:rsidRPr="00044A7E" w:rsidTr="00094A39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9" w:rsidRPr="00044A7E" w:rsidRDefault="00094A39" w:rsidP="00094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39" w:rsidRDefault="00094A39" w:rsidP="0082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61C56">
              <w:rPr>
                <w:rFonts w:ascii="Times New Roman" w:hAnsi="Times New Roman" w:cs="Times New Roman"/>
                <w:sz w:val="20"/>
                <w:szCs w:val="20"/>
              </w:rPr>
              <w:t xml:space="preserve">акупка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39" w:rsidRPr="00044A7E" w:rsidRDefault="00094A39" w:rsidP="008234C4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4A39" w:rsidRDefault="00094A39" w:rsidP="00094A39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94A39" w:rsidRPr="003B09B3" w:rsidRDefault="00094A39" w:rsidP="00094A3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09B3">
        <w:rPr>
          <w:rFonts w:ascii="Times New Roman" w:hAnsi="Times New Roman" w:cs="Times New Roman"/>
          <w:b/>
          <w:sz w:val="26"/>
          <w:szCs w:val="26"/>
        </w:rPr>
        <w:lastRenderedPageBreak/>
        <w:t>Справочная информация</w:t>
      </w:r>
    </w:p>
    <w:p w:rsidR="00094A39" w:rsidRPr="003B09B3" w:rsidRDefault="00094A39" w:rsidP="00094A39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94A39" w:rsidRPr="00693BE3" w:rsidRDefault="00094A39" w:rsidP="00094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Условия б</w:t>
      </w:r>
      <w:r w:rsidRPr="00693BE3">
        <w:rPr>
          <w:rFonts w:ascii="Times New Roman" w:hAnsi="Times New Roman" w:cs="Times New Roman"/>
          <w:sz w:val="26"/>
          <w:szCs w:val="26"/>
        </w:rPr>
        <w:t>анковско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693BE3">
        <w:rPr>
          <w:rFonts w:ascii="Times New Roman" w:hAnsi="Times New Roman" w:cs="Times New Roman"/>
          <w:sz w:val="26"/>
          <w:szCs w:val="26"/>
        </w:rPr>
        <w:t xml:space="preserve"> сопровождени</w:t>
      </w:r>
      <w:r>
        <w:rPr>
          <w:rFonts w:ascii="Times New Roman" w:hAnsi="Times New Roman" w:cs="Times New Roman"/>
          <w:sz w:val="26"/>
          <w:szCs w:val="26"/>
        </w:rPr>
        <w:t>я включаются Заказчиком (Покупателем) в договоры, соответствующие вышеуказанным критериям.</w:t>
      </w:r>
      <w:r w:rsidRPr="00693B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 «банковским сопровождением» понимается</w:t>
      </w:r>
      <w:r w:rsidRPr="00693BE3">
        <w:rPr>
          <w:rFonts w:ascii="Times New Roman" w:hAnsi="Times New Roman" w:cs="Times New Roman"/>
          <w:sz w:val="26"/>
          <w:szCs w:val="26"/>
        </w:rPr>
        <w:t xml:space="preserve"> </w:t>
      </w:r>
      <w:r w:rsidRPr="00552113">
        <w:rPr>
          <w:rFonts w:ascii="Times New Roman" w:hAnsi="Times New Roman" w:cs="Times New Roman"/>
          <w:sz w:val="26"/>
          <w:szCs w:val="26"/>
        </w:rPr>
        <w:t xml:space="preserve">осуществление </w:t>
      </w:r>
      <w:r>
        <w:rPr>
          <w:rFonts w:ascii="Times New Roman" w:hAnsi="Times New Roman" w:cs="Times New Roman"/>
          <w:sz w:val="26"/>
          <w:szCs w:val="26"/>
        </w:rPr>
        <w:t xml:space="preserve">банком, указанным в договоре (далее – Банк), </w:t>
      </w:r>
      <w:r w:rsidRPr="00552113">
        <w:rPr>
          <w:rFonts w:ascii="Times New Roman" w:hAnsi="Times New Roman" w:cs="Times New Roman"/>
          <w:sz w:val="26"/>
          <w:szCs w:val="26"/>
        </w:rPr>
        <w:t>мониторинга</w:t>
      </w:r>
      <w:r>
        <w:rPr>
          <w:rFonts w:ascii="Times New Roman" w:hAnsi="Times New Roman" w:cs="Times New Roman"/>
          <w:sz w:val="26"/>
          <w:szCs w:val="26"/>
        </w:rPr>
        <w:t xml:space="preserve"> расчетов</w:t>
      </w:r>
      <w:r w:rsidRPr="00552113">
        <w:rPr>
          <w:rFonts w:ascii="Times New Roman" w:hAnsi="Times New Roman" w:cs="Times New Roman"/>
          <w:sz w:val="26"/>
          <w:szCs w:val="26"/>
        </w:rPr>
        <w:t xml:space="preserve"> и контроля за </w:t>
      </w:r>
      <w:r>
        <w:rPr>
          <w:rFonts w:ascii="Times New Roman" w:hAnsi="Times New Roman" w:cs="Times New Roman"/>
          <w:sz w:val="26"/>
          <w:szCs w:val="26"/>
        </w:rPr>
        <w:t>целевым расходованием средств</w:t>
      </w:r>
      <w:r w:rsidRPr="005521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Исполнителем по договору, а также </w:t>
      </w:r>
      <w:r w:rsidRPr="00552113">
        <w:rPr>
          <w:rFonts w:ascii="Times New Roman" w:hAnsi="Times New Roman" w:cs="Times New Roman"/>
          <w:sz w:val="26"/>
          <w:szCs w:val="26"/>
        </w:rPr>
        <w:t>ины</w:t>
      </w:r>
      <w:r>
        <w:rPr>
          <w:rFonts w:ascii="Times New Roman" w:hAnsi="Times New Roman" w:cs="Times New Roman"/>
          <w:sz w:val="26"/>
          <w:szCs w:val="26"/>
        </w:rPr>
        <w:t>ми</w:t>
      </w:r>
      <w:r w:rsidRPr="00552113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552113">
        <w:rPr>
          <w:rFonts w:ascii="Times New Roman" w:hAnsi="Times New Roman" w:cs="Times New Roman"/>
          <w:sz w:val="26"/>
          <w:szCs w:val="26"/>
        </w:rPr>
        <w:t>, привлекаемы</w:t>
      </w:r>
      <w:r>
        <w:rPr>
          <w:rFonts w:ascii="Times New Roman" w:hAnsi="Times New Roman" w:cs="Times New Roman"/>
          <w:sz w:val="26"/>
          <w:szCs w:val="26"/>
        </w:rPr>
        <w:t>ми</w:t>
      </w:r>
      <w:r w:rsidRPr="00552113">
        <w:rPr>
          <w:rFonts w:ascii="Times New Roman" w:hAnsi="Times New Roman" w:cs="Times New Roman"/>
          <w:sz w:val="26"/>
          <w:szCs w:val="26"/>
        </w:rPr>
        <w:t xml:space="preserve"> в ходе исполнения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552113">
        <w:rPr>
          <w:rFonts w:ascii="Times New Roman" w:hAnsi="Times New Roman" w:cs="Times New Roman"/>
          <w:sz w:val="26"/>
          <w:szCs w:val="26"/>
        </w:rPr>
        <w:t xml:space="preserve">оговора, </w:t>
      </w:r>
      <w:r>
        <w:rPr>
          <w:rFonts w:ascii="Times New Roman" w:hAnsi="Times New Roman" w:cs="Times New Roman"/>
          <w:sz w:val="26"/>
          <w:szCs w:val="26"/>
        </w:rPr>
        <w:t>с использованием отдельных счетов</w:t>
      </w:r>
      <w:r w:rsidRPr="0055211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открытых в Банке,</w:t>
      </w:r>
      <w:r w:rsidRPr="005521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52113">
        <w:rPr>
          <w:rFonts w:ascii="Times New Roman" w:hAnsi="Times New Roman" w:cs="Times New Roman"/>
          <w:sz w:val="26"/>
          <w:szCs w:val="26"/>
        </w:rPr>
        <w:t xml:space="preserve"> доведение результатов мониторинга и контроля до сведения </w:t>
      </w:r>
      <w:r>
        <w:rPr>
          <w:rFonts w:ascii="Times New Roman" w:hAnsi="Times New Roman" w:cs="Times New Roman"/>
          <w:sz w:val="26"/>
          <w:szCs w:val="26"/>
        </w:rPr>
        <w:t>Заказчика (</w:t>
      </w:r>
      <w:r w:rsidRPr="00552113">
        <w:rPr>
          <w:rFonts w:ascii="Times New Roman" w:hAnsi="Times New Roman" w:cs="Times New Roman"/>
          <w:sz w:val="26"/>
          <w:szCs w:val="26"/>
        </w:rPr>
        <w:t>Покупателя</w:t>
      </w:r>
      <w:r>
        <w:rPr>
          <w:rFonts w:ascii="Times New Roman" w:hAnsi="Times New Roman" w:cs="Times New Roman"/>
          <w:sz w:val="26"/>
          <w:szCs w:val="26"/>
        </w:rPr>
        <w:t>). Параметры банковского сопровождения определяются Заказчиком (Покупателем) в заявке на банковское сопровождение договора и отражаются Банком в договоре отдельного счета (дополнительном соглашении к договору банковского счета), устанавливающем специальный режим проведения расходных операций по данному счету. Порядок открытия отдельного счета и проведения по нему операций, а также типовые параметры банковского сопровождения размещены на официальном сайте Банка в сети «Интернет».</w:t>
      </w:r>
    </w:p>
    <w:p w:rsidR="00094A39" w:rsidRPr="00693BE3" w:rsidRDefault="00094A39" w:rsidP="00094A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E0E2A" w:rsidRPr="00BC070B" w:rsidRDefault="004E0E2A" w:rsidP="00E27883">
      <w:pPr>
        <w:pStyle w:val="a3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4E0E2A" w:rsidRPr="00BC070B" w:rsidSect="00E278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9D7" w:rsidRDefault="00DC69D7" w:rsidP="003338BC">
      <w:pPr>
        <w:spacing w:after="0" w:line="240" w:lineRule="auto"/>
      </w:pPr>
      <w:r>
        <w:separator/>
      </w:r>
    </w:p>
  </w:endnote>
  <w:endnote w:type="continuationSeparator" w:id="0">
    <w:p w:rsidR="00DC69D7" w:rsidRDefault="00DC69D7" w:rsidP="0033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9D7" w:rsidRDefault="00DC69D7" w:rsidP="003338BC">
      <w:pPr>
        <w:spacing w:after="0" w:line="240" w:lineRule="auto"/>
      </w:pPr>
      <w:r>
        <w:separator/>
      </w:r>
    </w:p>
  </w:footnote>
  <w:footnote w:type="continuationSeparator" w:id="0">
    <w:p w:rsidR="00DC69D7" w:rsidRDefault="00DC69D7" w:rsidP="003338BC">
      <w:pPr>
        <w:spacing w:after="0" w:line="240" w:lineRule="auto"/>
      </w:pPr>
      <w:r>
        <w:continuationSeparator/>
      </w:r>
    </w:p>
  </w:footnote>
  <w:footnote w:id="1">
    <w:p w:rsidR="00094A39" w:rsidRDefault="00094A39" w:rsidP="00094A39">
      <w:pPr>
        <w:pStyle w:val="a7"/>
        <w:jc w:val="both"/>
      </w:pPr>
      <w:r>
        <w:rPr>
          <w:rStyle w:val="a9"/>
        </w:rPr>
        <w:footnoteRef/>
      </w:r>
      <w:r>
        <w:t xml:space="preserve"> Под «н</w:t>
      </w:r>
      <w:r w:rsidRPr="00361C56">
        <w:t>епосредственны</w:t>
      </w:r>
      <w:r>
        <w:t>м</w:t>
      </w:r>
      <w:r w:rsidRPr="00361C56">
        <w:t xml:space="preserve"> изготовител</w:t>
      </w:r>
      <w:r>
        <w:t>ем»</w:t>
      </w:r>
      <w:r w:rsidRPr="00361C56">
        <w:t xml:space="preserve"> </w:t>
      </w:r>
      <w:r>
        <w:t>понимается</w:t>
      </w:r>
      <w:r w:rsidRPr="00361C56">
        <w:t xml:space="preserve"> фактический изготовитель </w:t>
      </w:r>
      <w:r>
        <w:t>товаров</w:t>
      </w:r>
      <w:r w:rsidRPr="00361C56">
        <w:t xml:space="preserve">, либо юридическое лицо/индивидуальный предприниматель, которому фактический изготовитель делегировал полномочия по реализации его </w:t>
      </w:r>
      <w:r>
        <w:t>товаров</w:t>
      </w:r>
      <w:r w:rsidRPr="00361C56">
        <w:t xml:space="preserve">, при условии, что представлено подтверждение того, что фактический изготовитель </w:t>
      </w:r>
      <w:r>
        <w:t>товаров</w:t>
      </w:r>
      <w:r w:rsidRPr="00361C56">
        <w:t xml:space="preserve"> самостоятельно не осуществляет продажи своих </w:t>
      </w:r>
      <w:r>
        <w:t>товаров</w:t>
      </w:r>
      <w:r w:rsidRPr="00361C56">
        <w:t xml:space="preserve">, либо представительство фактического изготовителя </w:t>
      </w:r>
      <w:r>
        <w:t>товаров</w:t>
      </w:r>
      <w:r w:rsidRPr="00361C56">
        <w:t xml:space="preserve">, зарегистрированного на территории иностранного государства, либо дилер/дистрибьютор, у которого заключен дилерский/дистрибьюторский договор с фактическим изготовителем </w:t>
      </w:r>
      <w:r>
        <w:t>товаров</w:t>
      </w:r>
      <w:r w:rsidRPr="00361C56">
        <w:t xml:space="preserve">, зарегистрированным на территории  иностранного государства, или который представил письмо от такого изготовителя </w:t>
      </w:r>
      <w:r>
        <w:t>товаров</w:t>
      </w:r>
      <w:r w:rsidRPr="00361C56">
        <w:t>, подтверждающее,  что он является  официальным дилером/дистрибьютором.</w:t>
      </w:r>
    </w:p>
  </w:footnote>
  <w:footnote w:id="2">
    <w:p w:rsidR="00094A39" w:rsidRDefault="00094A39" w:rsidP="00094A39">
      <w:pPr>
        <w:pStyle w:val="a7"/>
        <w:jc w:val="both"/>
      </w:pPr>
      <w:r>
        <w:rPr>
          <w:rStyle w:val="a9"/>
        </w:rPr>
        <w:footnoteRef/>
      </w:r>
      <w:r>
        <w:t xml:space="preserve"> Или соответствующий эквивалент по курсу Национального банка Р</w:t>
      </w:r>
      <w:r w:rsidR="00F1086D">
        <w:t xml:space="preserve">еспублики </w:t>
      </w:r>
      <w:r>
        <w:t>Б</w:t>
      </w:r>
      <w:r w:rsidR="00F1086D">
        <w:t>еларусь</w:t>
      </w:r>
      <w:r>
        <w:t xml:space="preserve"> на дату проведения закупки/заключения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0687"/>
    <w:multiLevelType w:val="hybridMultilevel"/>
    <w:tmpl w:val="EAB0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44BA3"/>
    <w:rsid w:val="000676E1"/>
    <w:rsid w:val="00094A39"/>
    <w:rsid w:val="00097C1C"/>
    <w:rsid w:val="000C637D"/>
    <w:rsid w:val="000E28CE"/>
    <w:rsid w:val="000E4775"/>
    <w:rsid w:val="001C2916"/>
    <w:rsid w:val="001C4143"/>
    <w:rsid w:val="001E3DA4"/>
    <w:rsid w:val="00246273"/>
    <w:rsid w:val="002E0EB9"/>
    <w:rsid w:val="002E2335"/>
    <w:rsid w:val="003338BC"/>
    <w:rsid w:val="00345576"/>
    <w:rsid w:val="003539B9"/>
    <w:rsid w:val="00386E2A"/>
    <w:rsid w:val="00394A0D"/>
    <w:rsid w:val="003B09B3"/>
    <w:rsid w:val="003C2349"/>
    <w:rsid w:val="003E079D"/>
    <w:rsid w:val="0040767C"/>
    <w:rsid w:val="0044505E"/>
    <w:rsid w:val="004A1C4C"/>
    <w:rsid w:val="004B09A8"/>
    <w:rsid w:val="004B10C8"/>
    <w:rsid w:val="004C3506"/>
    <w:rsid w:val="004E0E2A"/>
    <w:rsid w:val="004E110E"/>
    <w:rsid w:val="0055676E"/>
    <w:rsid w:val="0056779B"/>
    <w:rsid w:val="005753D9"/>
    <w:rsid w:val="005B26A0"/>
    <w:rsid w:val="005D1B1C"/>
    <w:rsid w:val="005F705B"/>
    <w:rsid w:val="00640136"/>
    <w:rsid w:val="00666D7A"/>
    <w:rsid w:val="006A0AF7"/>
    <w:rsid w:val="006A1CFF"/>
    <w:rsid w:val="006C01A7"/>
    <w:rsid w:val="006D1703"/>
    <w:rsid w:val="006F7A6B"/>
    <w:rsid w:val="007132C1"/>
    <w:rsid w:val="00765DFE"/>
    <w:rsid w:val="00771E6F"/>
    <w:rsid w:val="00796A81"/>
    <w:rsid w:val="007A6DE1"/>
    <w:rsid w:val="007C6ED4"/>
    <w:rsid w:val="007D0ADA"/>
    <w:rsid w:val="007D3409"/>
    <w:rsid w:val="007F214B"/>
    <w:rsid w:val="00801D32"/>
    <w:rsid w:val="0081099F"/>
    <w:rsid w:val="00841680"/>
    <w:rsid w:val="008F5A3B"/>
    <w:rsid w:val="009072CA"/>
    <w:rsid w:val="00932F9A"/>
    <w:rsid w:val="009772DC"/>
    <w:rsid w:val="009A6300"/>
    <w:rsid w:val="009A6BBE"/>
    <w:rsid w:val="009C7E5A"/>
    <w:rsid w:val="00A17A7B"/>
    <w:rsid w:val="00A221B1"/>
    <w:rsid w:val="00AA6EB7"/>
    <w:rsid w:val="00AC69AE"/>
    <w:rsid w:val="00B319C8"/>
    <w:rsid w:val="00B40F1A"/>
    <w:rsid w:val="00B54FCA"/>
    <w:rsid w:val="00BA6BDF"/>
    <w:rsid w:val="00BC070B"/>
    <w:rsid w:val="00BC5201"/>
    <w:rsid w:val="00BC7561"/>
    <w:rsid w:val="00BD582E"/>
    <w:rsid w:val="00BF17D6"/>
    <w:rsid w:val="00C74193"/>
    <w:rsid w:val="00C911BD"/>
    <w:rsid w:val="00CB687F"/>
    <w:rsid w:val="00CE4F7C"/>
    <w:rsid w:val="00D64D03"/>
    <w:rsid w:val="00D922AE"/>
    <w:rsid w:val="00DC69D7"/>
    <w:rsid w:val="00DD3AC6"/>
    <w:rsid w:val="00E27883"/>
    <w:rsid w:val="00E50623"/>
    <w:rsid w:val="00E65EF1"/>
    <w:rsid w:val="00E80AF6"/>
    <w:rsid w:val="00E92C00"/>
    <w:rsid w:val="00F1086D"/>
    <w:rsid w:val="00F22FD4"/>
    <w:rsid w:val="00F96533"/>
    <w:rsid w:val="00FD4F0C"/>
    <w:rsid w:val="00FE6C1A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4E652-532C-4EF6-A275-83229A8B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rsid w:val="003338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3338B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3338BC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3338B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Verdana" w:eastAsia="Calibri" w:hAnsi="Verdana" w:cs="Times New Roman"/>
      <w:sz w:val="20"/>
      <w:szCs w:val="20"/>
      <w:lang w:val="x-none"/>
    </w:rPr>
  </w:style>
  <w:style w:type="character" w:customStyle="1" w:styleId="ab">
    <w:name w:val="Нижний колонтитул Знак"/>
    <w:basedOn w:val="a0"/>
    <w:link w:val="aa"/>
    <w:uiPriority w:val="99"/>
    <w:rsid w:val="003338BC"/>
    <w:rPr>
      <w:rFonts w:ascii="Verdana" w:eastAsia="Calibri" w:hAnsi="Verdana" w:cs="Times New Roman"/>
      <w:sz w:val="20"/>
      <w:szCs w:val="20"/>
      <w:lang w:val="x-none"/>
    </w:rPr>
  </w:style>
  <w:style w:type="paragraph" w:styleId="ac">
    <w:name w:val="List Paragraph"/>
    <w:basedOn w:val="a"/>
    <w:uiPriority w:val="34"/>
    <w:qFormat/>
    <w:rsid w:val="003338B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Плескачевская Екатерина Алексеевна</cp:lastModifiedBy>
  <cp:revision>62</cp:revision>
  <cp:lastPrinted>2022-08-03T11:34:00Z</cp:lastPrinted>
  <dcterms:created xsi:type="dcterms:W3CDTF">2019-02-11T13:13:00Z</dcterms:created>
  <dcterms:modified xsi:type="dcterms:W3CDTF">2025-03-12T11:04:00Z</dcterms:modified>
</cp:coreProperties>
</file>