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r w:rsidR="009D7640" w:rsidRPr="00BD0F4E">
        <w:rPr>
          <w:sz w:val="28"/>
          <w:szCs w:val="28"/>
        </w:rPr>
        <w:t>Д.В.Марченков</w:t>
      </w:r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210E6C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251EF1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спортивного инвентаря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для нужд</w:t>
      </w:r>
      <w:r w:rsidR="00251EF1">
        <w:rPr>
          <w:b/>
          <w:sz w:val="30"/>
          <w:szCs w:val="30"/>
          <w:lang w:eastAsia="x-none"/>
        </w:rPr>
        <w:t xml:space="preserve"> </w:t>
      </w:r>
      <w:r w:rsidR="00251EF1" w:rsidRPr="00251EF1">
        <w:rPr>
          <w:b/>
          <w:sz w:val="30"/>
          <w:szCs w:val="30"/>
          <w:lang w:eastAsia="x-none"/>
        </w:rPr>
        <w:t>Оздоровительного центра «Алеся» и Туристического комплекса «Березинская дубрава»</w:t>
      </w:r>
      <w:r w:rsidRPr="00BD0F4E">
        <w:rPr>
          <w:b/>
          <w:sz w:val="30"/>
          <w:szCs w:val="30"/>
          <w:lang w:eastAsia="x-none"/>
        </w:rPr>
        <w:t xml:space="preserve"> 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210E6C">
        <w:rPr>
          <w:sz w:val="30"/>
          <w:szCs w:val="30"/>
          <w:lang w:eastAsia="x-none"/>
        </w:rPr>
        <w:t>0</w:t>
      </w:r>
      <w:r w:rsidR="003F4893">
        <w:rPr>
          <w:sz w:val="30"/>
          <w:szCs w:val="30"/>
          <w:lang w:eastAsia="x-none"/>
        </w:rPr>
        <w:t>0</w:t>
      </w:r>
      <w:r w:rsidR="00975216">
        <w:rPr>
          <w:sz w:val="30"/>
          <w:szCs w:val="30"/>
          <w:lang w:eastAsia="x-none"/>
        </w:rPr>
        <w:t>4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3F4893">
        <w:rPr>
          <w:sz w:val="30"/>
          <w:szCs w:val="30"/>
          <w:lang w:eastAsia="x-none"/>
        </w:rPr>
        <w:t>7</w:t>
      </w:r>
      <w:r w:rsidR="00975216">
        <w:rPr>
          <w:sz w:val="30"/>
          <w:szCs w:val="30"/>
          <w:lang w:eastAsia="x-none"/>
        </w:rPr>
        <w:t>7033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3F4893">
        <w:rPr>
          <w:sz w:val="30"/>
          <w:szCs w:val="30"/>
          <w:lang w:eastAsia="x-none"/>
        </w:rPr>
        <w:t>1425</w:t>
      </w:r>
      <w:r w:rsidR="00975216">
        <w:rPr>
          <w:sz w:val="30"/>
          <w:szCs w:val="30"/>
          <w:lang w:eastAsia="x-none"/>
        </w:rPr>
        <w:t>4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210E6C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457DCE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FB1249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D0F4E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2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3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D0F4E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BD0F4E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BD0F4E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50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BD0F4E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BD0F4E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9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2"/>
      <w:r w:rsidRPr="00BD0F4E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BD0F4E">
        <w:rPr>
          <w:b/>
          <w:sz w:val="20"/>
          <w:szCs w:val="20"/>
          <w:lang w:val="ru-RU"/>
        </w:rPr>
        <w:t>ок</w:t>
      </w:r>
      <w:bookmarkEnd w:id="98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100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1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2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2"/>
      <w:r w:rsidR="001D6A5D" w:rsidRPr="00BD0F4E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FB1249" w:rsidRPr="00FB1249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9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BD0F4E">
        <w:rPr>
          <w:sz w:val="20"/>
        </w:rPr>
        <w:t xml:space="preserve">Предельная </w:t>
      </w:r>
      <w:bookmarkEnd w:id="144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5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BD0F4E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D0F4E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5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BD0F4E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8"/>
      <w:bookmarkEnd w:id="229"/>
      <w:bookmarkEnd w:id="230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п.п.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BD0F4E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BD0F4E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п.п.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BD0F4E" w:rsidRDefault="00457DCE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2" w:name="_Ref523413763"/>
      <w:bookmarkEnd w:id="291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D0F4E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BD0F4E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_________(исх.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>до «  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Согласие на обработку и передачу своих персональных данных                (</w:t>
            </w:r>
            <w:hyperlink w:anchor="ф2СоглОбр" w:history="1">
              <w:r w:rsidRPr="00BD0F4E">
                <w:rPr>
                  <w:rStyle w:val="af"/>
                </w:rPr>
                <w:t>Форма 2.2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20"/>
            <w:bookmarkEnd w:id="321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BD0F4E">
              <w:t>Документы, подтверждающие правоспособность участник</w:t>
            </w:r>
            <w:bookmarkEnd w:id="322"/>
            <w:bookmarkEnd w:id="323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в </w:t>
      </w:r>
      <w:r w:rsidR="00C851D8" w:rsidRPr="00BD0F4E">
        <w:t xml:space="preserve"> процедуре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</w:t>
            </w:r>
            <w:r w:rsidRPr="00BD0F4E">
              <w:rPr>
                <w:b/>
                <w:sz w:val="24"/>
                <w:szCs w:val="18"/>
              </w:rPr>
              <w:t>*</w:t>
            </w:r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В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ТН 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/_______________(ФИО,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м.п.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r w:rsidRPr="00BD0F4E">
        <w:rPr>
          <w:spacing w:val="-3"/>
        </w:rPr>
        <w:t xml:space="preserve">» .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м.п.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Тел. Банка:_____________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м.п.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BD0F4E" w:rsidRDefault="00720C8B" w:rsidP="00720C8B">
      <w:r w:rsidRPr="00BD0F4E">
        <w:t>(в том числе конечных)</w:t>
      </w:r>
    </w:p>
    <w:bookmarkEnd w:id="360"/>
    <w:bookmarkEnd w:id="361"/>
    <w:bookmarkEnd w:id="362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>(подпись, м.п.)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BD0F4E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3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BD0F4E">
        <w:rPr>
          <w:b/>
          <w:sz w:val="20"/>
          <w:szCs w:val="20"/>
        </w:rPr>
        <w:t xml:space="preserve"> </w:t>
      </w:r>
      <w:bookmarkEnd w:id="398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9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м.п.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/______________(ФИО,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9"/>
      <w:r w:rsidRPr="00BD0F4E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7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BD0F4E">
        <w:rPr>
          <w:b/>
          <w:lang w:val="x-none" w:eastAsia="x-none"/>
        </w:rPr>
        <w:t>(Форма 9)</w:t>
      </w:r>
      <w:bookmarkEnd w:id="464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>(за исключением авансовых платежей) по договору, в том числе сумм неустоек )</w:t>
      </w:r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BD0F4E">
        <w:rPr>
          <w:b/>
          <w:lang w:val="x-none" w:eastAsia="x-none"/>
        </w:rPr>
        <w:t xml:space="preserve"> </w:t>
      </w:r>
      <w:bookmarkEnd w:id="468"/>
      <w:bookmarkEnd w:id="469"/>
      <w:r w:rsidR="00CF5024" w:rsidRPr="00BD0F4E">
        <w:rPr>
          <w:b/>
          <w:lang w:val="x-none" w:eastAsia="x-none"/>
        </w:rPr>
        <w:t>(Форма 10)</w:t>
      </w:r>
      <w:bookmarkEnd w:id="470"/>
    </w:p>
    <w:p w:rsidR="000F3F88" w:rsidRPr="00BD0F4E" w:rsidRDefault="000F3F88" w:rsidP="000F3F88"/>
    <w:p w:rsidR="000F3F88" w:rsidRPr="00BD0F4E" w:rsidRDefault="00CF502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BD0F4E">
        <w:rPr>
          <w:b/>
          <w:lang w:val="x-none" w:eastAsia="x-none"/>
        </w:rPr>
        <w:t xml:space="preserve"> (Форма 11)</w:t>
      </w:r>
      <w:bookmarkEnd w:id="477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BD0F4E">
        <w:rPr>
          <w:b/>
          <w:lang w:val="x-none" w:eastAsia="x-none"/>
        </w:rPr>
        <w:t>Приложения к Документации</w:t>
      </w:r>
      <w:bookmarkEnd w:id="478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CE" w:rsidRDefault="00457DCE">
      <w:r>
        <w:separator/>
      </w:r>
    </w:p>
  </w:endnote>
  <w:endnote w:type="continuationSeparator" w:id="0">
    <w:p w:rsidR="00457DCE" w:rsidRDefault="00457DCE">
      <w:r>
        <w:continuationSeparator/>
      </w:r>
    </w:p>
  </w:endnote>
  <w:endnote w:type="continuationNotice" w:id="1">
    <w:p w:rsidR="00457DCE" w:rsidRDefault="00457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B1249">
      <w:rPr>
        <w:noProof/>
        <w:sz w:val="20"/>
      </w:rPr>
      <w:t>18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CE" w:rsidRDefault="00457DCE">
      <w:r>
        <w:separator/>
      </w:r>
    </w:p>
  </w:footnote>
  <w:footnote w:type="continuationSeparator" w:id="0">
    <w:p w:rsidR="00457DCE" w:rsidRDefault="00457DCE">
      <w:r>
        <w:continuationSeparator/>
      </w:r>
    </w:p>
  </w:footnote>
  <w:footnote w:type="continuationNotice" w:id="1">
    <w:p w:rsidR="00457DCE" w:rsidRDefault="00457DCE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EC0399"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EC0399">
      <w:rPr>
        <w:i/>
      </w:rPr>
      <w:t>0</w:t>
    </w:r>
    <w:r w:rsidR="00FB1249">
      <w:rPr>
        <w:i/>
      </w:rPr>
      <w:t>04</w:t>
    </w:r>
    <w:r w:rsidRPr="00484249">
      <w:rPr>
        <w:i/>
      </w:rPr>
      <w:t xml:space="preserve"> (№1000</w:t>
    </w:r>
    <w:r w:rsidR="00EC0399">
      <w:rPr>
        <w:i/>
      </w:rPr>
      <w:t>9</w:t>
    </w:r>
    <w:r w:rsidR="00FB1249">
      <w:rPr>
        <w:i/>
      </w:rPr>
      <w:t>77033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</w:t>
    </w:r>
    <w:r w:rsidR="00EC0399">
      <w:rPr>
        <w:i/>
      </w:rPr>
      <w:t>2</w:t>
    </w:r>
    <w:r>
      <w:rPr>
        <w:i/>
      </w:rPr>
      <w:t>/4.3/00</w:t>
    </w:r>
    <w:r w:rsidR="00FB1249">
      <w:rPr>
        <w:i/>
      </w:rPr>
      <w:t>14254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49" w:rsidRPr="00484249" w:rsidRDefault="00FB1249" w:rsidP="00FB124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5F7296" w:rsidRDefault="00FB1249" w:rsidP="00FB124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49" w:rsidRPr="00484249" w:rsidRDefault="00FB1249" w:rsidP="00FB124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5F7296" w:rsidRPr="002F5726" w:rsidRDefault="00FB1249" w:rsidP="00FB124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49" w:rsidRPr="00484249" w:rsidRDefault="00FB1249" w:rsidP="00FB124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5F7296" w:rsidRPr="002F5726" w:rsidRDefault="00FB1249" w:rsidP="00FB124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49" w:rsidRPr="00484249" w:rsidRDefault="00FB1249" w:rsidP="00FB124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6E31CA" w:rsidRDefault="00FB1249" w:rsidP="00FB124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49" w:rsidRPr="00484249" w:rsidRDefault="00FB1249" w:rsidP="00FB124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002-004</w:t>
    </w:r>
    <w:r w:rsidRPr="00484249">
      <w:rPr>
        <w:i/>
      </w:rPr>
      <w:t xml:space="preserve"> (№1000</w:t>
    </w:r>
    <w:r>
      <w:rPr>
        <w:i/>
      </w:rPr>
      <w:t>977033</w:t>
    </w:r>
    <w:r w:rsidRPr="00484249">
      <w:rPr>
        <w:i/>
      </w:rPr>
      <w:t>)</w:t>
    </w:r>
  </w:p>
  <w:p w:rsidR="005F7296" w:rsidRDefault="00FB1249" w:rsidP="00FB124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22/4.3/0014254</w:t>
    </w:r>
    <w:r w:rsidRPr="00484249">
      <w:rPr>
        <w:i/>
      </w:rPr>
      <w:t>/ГТБ)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910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E6C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1EF1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4893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0A79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DCE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472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216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180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35D1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399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49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249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AF06-E373-4626-A358-452B1AB469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057C8F-8A67-4C73-AD26-B00E66C5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11350</Words>
  <Characters>64701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75900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9</cp:revision>
  <cp:lastPrinted>2022-02-14T06:32:00Z</cp:lastPrinted>
  <dcterms:created xsi:type="dcterms:W3CDTF">2021-11-08T10:26:00Z</dcterms:created>
  <dcterms:modified xsi:type="dcterms:W3CDTF">2022-02-14T06:32:00Z</dcterms:modified>
</cp:coreProperties>
</file>