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104BBA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104BBA">
        <w:rPr>
          <w:b w:val="0"/>
          <w:caps/>
          <w:sz w:val="30"/>
          <w:szCs w:val="30"/>
        </w:rPr>
        <w:t xml:space="preserve">на закупку </w:t>
      </w:r>
      <w:r w:rsidR="00A83BAF" w:rsidRPr="00104BBA">
        <w:rPr>
          <w:b w:val="0"/>
          <w:caps/>
          <w:sz w:val="30"/>
          <w:szCs w:val="30"/>
        </w:rPr>
        <w:t>товара</w:t>
      </w:r>
      <w:r w:rsidR="006D02A7" w:rsidRPr="00104BBA">
        <w:rPr>
          <w:b w:val="0"/>
          <w:caps/>
          <w:sz w:val="30"/>
          <w:szCs w:val="30"/>
        </w:rPr>
        <w:t>(ов)</w:t>
      </w:r>
    </w:p>
    <w:p w:rsidR="008B1FF7" w:rsidRPr="00104BBA" w:rsidRDefault="00E90FE4" w:rsidP="008B1FF7">
      <w:pPr>
        <w:jc w:val="center"/>
        <w:rPr>
          <w:sz w:val="30"/>
          <w:szCs w:val="30"/>
          <w:lang w:eastAsia="x-none"/>
        </w:rPr>
      </w:pPr>
      <w:r w:rsidRPr="00104BBA">
        <w:rPr>
          <w:sz w:val="30"/>
          <w:szCs w:val="30"/>
          <w:lang w:eastAsia="x-none"/>
        </w:rPr>
        <w:t>№</w:t>
      </w:r>
      <w:r w:rsidR="008B1FF7" w:rsidRPr="00104BBA">
        <w:rPr>
          <w:sz w:val="30"/>
          <w:szCs w:val="30"/>
          <w:lang w:eastAsia="x-none"/>
        </w:rPr>
        <w:t xml:space="preserve"> </w:t>
      </w:r>
      <w:r w:rsidR="00E04F4C">
        <w:rPr>
          <w:sz w:val="30"/>
          <w:szCs w:val="30"/>
          <w:lang w:eastAsia="x-none"/>
        </w:rPr>
        <w:t>22_ГТБеларусь-4.3-1213/5-0013 (№1000973247</w:t>
      </w:r>
      <w:r w:rsidR="0022445E" w:rsidRPr="0022445E">
        <w:rPr>
          <w:sz w:val="30"/>
          <w:szCs w:val="30"/>
          <w:lang w:eastAsia="x-none"/>
        </w:rPr>
        <w:t>)</w:t>
      </w:r>
    </w:p>
    <w:p w:rsidR="00E90FE4" w:rsidRPr="00104BBA" w:rsidRDefault="008B1FF7" w:rsidP="008B1FF7">
      <w:pPr>
        <w:jc w:val="center"/>
        <w:rPr>
          <w:sz w:val="30"/>
          <w:szCs w:val="30"/>
        </w:rPr>
      </w:pPr>
      <w:r w:rsidRPr="00104BBA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0B104F">
        <w:rPr>
          <w:sz w:val="30"/>
          <w:szCs w:val="30"/>
          <w:lang w:eastAsia="x-none"/>
        </w:rPr>
        <w:t>22</w:t>
      </w:r>
      <w:r w:rsidR="00B93B1C">
        <w:rPr>
          <w:sz w:val="30"/>
          <w:szCs w:val="30"/>
          <w:lang w:eastAsia="x-none"/>
        </w:rPr>
        <w:t>/4.3/00</w:t>
      </w:r>
      <w:r w:rsidR="00E04F4C">
        <w:rPr>
          <w:sz w:val="30"/>
          <w:szCs w:val="30"/>
          <w:lang w:eastAsia="x-none"/>
        </w:rPr>
        <w:t>14495</w:t>
      </w:r>
      <w:r w:rsidR="0022445E" w:rsidRPr="0022445E">
        <w:rPr>
          <w:sz w:val="30"/>
          <w:szCs w:val="30"/>
          <w:lang w:eastAsia="x-none"/>
        </w:rPr>
        <w:t>/ГТБ</w:t>
      </w:r>
      <w:r w:rsidRPr="00104BBA">
        <w:rPr>
          <w:sz w:val="30"/>
          <w:szCs w:val="30"/>
          <w:lang w:eastAsia="x-none"/>
        </w:rPr>
        <w:t>)</w:t>
      </w:r>
    </w:p>
    <w:p w:rsidR="009043FD" w:rsidRDefault="009043FD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104BBA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E3751C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 xml:space="preserve">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53BDF" w:rsidP="00D86F59">
            <w:r>
              <w:t>+375 17 285 11 48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Филиал «Управление материально-технического снабжения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Республика Беларусь,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C41C62" w:rsidP="00D86F59">
            <w:r>
              <w:t>Республика Беларусь, 220012,</w:t>
            </w:r>
            <w:r w:rsidR="00A83BAF" w:rsidRPr="00104BBA">
              <w:t>г.</w:t>
            </w:r>
            <w:r>
              <w:t>Минск, ул.Мержинского,</w:t>
            </w:r>
            <w:r w:rsidR="00A83BAF" w:rsidRPr="00104BBA">
              <w:t>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F0609" w:rsidRPr="00104BBA" w:rsidRDefault="00673952" w:rsidP="009F0609">
            <w:r>
              <w:t>Дурнев Дмитрий Михайлович, тел +375-17-219-13-89</w:t>
            </w:r>
          </w:p>
          <w:p w:rsidR="00A83BAF" w:rsidRPr="00104BBA" w:rsidRDefault="009F0609" w:rsidP="009F0609">
            <w:r w:rsidRPr="00104BBA">
              <w:t xml:space="preserve">эл. адрес – </w:t>
            </w:r>
            <w:r w:rsidR="00673952">
              <w:rPr>
                <w:lang w:val="en-US"/>
              </w:rPr>
              <w:t>d</w:t>
            </w:r>
            <w:r w:rsidR="00673952" w:rsidRPr="00673952">
              <w:t>.</w:t>
            </w:r>
            <w:proofErr w:type="spellStart"/>
            <w:r w:rsidR="00673952">
              <w:rPr>
                <w:lang w:val="en-US"/>
              </w:rPr>
              <w:t>durnev</w:t>
            </w:r>
            <w:proofErr w:type="spellEnd"/>
            <w:r w:rsidRPr="00104BBA">
              <w:t>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673952" w:rsidRDefault="00A83BAF" w:rsidP="00D86F59">
            <w:pPr>
              <w:jc w:val="center"/>
              <w:rPr>
                <w:bCs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42715C" w:rsidRDefault="00A83BAF" w:rsidP="00D86F59">
            <w:r w:rsidRPr="0042715C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043FD" w:rsidRPr="0042715C" w:rsidRDefault="00E04F4C" w:rsidP="009F0609">
            <w:r>
              <w:t>Беланович Елена Викторовна</w:t>
            </w:r>
            <w:r w:rsidR="009F0609" w:rsidRPr="0042715C">
              <w:t>, тел. +375-17-</w:t>
            </w:r>
            <w:r w:rsidR="009043FD" w:rsidRPr="0042715C">
              <w:t xml:space="preserve"> </w:t>
            </w:r>
            <w:r>
              <w:t>2191320</w:t>
            </w:r>
            <w:r w:rsidR="009F0609" w:rsidRPr="0042715C">
              <w:t>,</w:t>
            </w:r>
            <w:r w:rsidR="0042715C" w:rsidRPr="0042715C">
              <w:t xml:space="preserve"> </w:t>
            </w:r>
            <w:r w:rsidR="009F0609" w:rsidRPr="0042715C">
              <w:t xml:space="preserve">эл. адрес – </w:t>
            </w:r>
            <w:r>
              <w:rPr>
                <w:rStyle w:val="af"/>
                <w:lang w:val="en-US"/>
              </w:rPr>
              <w:t>a</w:t>
            </w:r>
            <w:r w:rsidRPr="00E04F4C">
              <w:rPr>
                <w:rStyle w:val="af"/>
              </w:rPr>
              <w:t>.</w:t>
            </w:r>
            <w:proofErr w:type="spellStart"/>
            <w:r>
              <w:rPr>
                <w:rStyle w:val="af"/>
                <w:lang w:val="en-US"/>
              </w:rPr>
              <w:t>belanovich</w:t>
            </w:r>
            <w:proofErr w:type="spellEnd"/>
            <w:r w:rsidR="0042715C" w:rsidRPr="0042715C">
              <w:rPr>
                <w:rStyle w:val="af"/>
              </w:rPr>
              <w:t>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Сайт общества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 (</w:t>
            </w:r>
            <w:hyperlink r:id="rId9" w:history="1">
              <w:r w:rsidRPr="00104BBA">
                <w:rPr>
                  <w:rStyle w:val="af"/>
                  <w:u w:val="none"/>
                </w:rPr>
                <w:t>http://www.</w:t>
              </w:r>
              <w:proofErr w:type="spellStart"/>
              <w:r w:rsidRPr="00104BBA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104BBA">
                <w:rPr>
                  <w:rStyle w:val="af"/>
                  <w:u w:val="none"/>
                </w:rPr>
                <w:t>.</w:t>
              </w:r>
              <w:proofErr w:type="spellStart"/>
              <w:r w:rsidRPr="00104BBA">
                <w:rPr>
                  <w:rStyle w:val="af"/>
                  <w:u w:val="none"/>
                </w:rPr>
                <w:t>by</w:t>
              </w:r>
              <w:proofErr w:type="spellEnd"/>
              <w:r w:rsidRPr="00104BBA">
                <w:rPr>
                  <w:rStyle w:val="af"/>
                  <w:u w:val="none"/>
                </w:rPr>
                <w:t>/</w:t>
              </w:r>
            </w:hyperlink>
            <w:r w:rsidRPr="00104BBA">
              <w:rPr>
                <w:rStyle w:val="af"/>
                <w:u w:val="none"/>
              </w:rPr>
              <w:t>)</w:t>
            </w:r>
            <w:r w:rsidRPr="00104BBA">
              <w:t>;</w:t>
            </w:r>
          </w:p>
          <w:p w:rsidR="006F2584" w:rsidRPr="00104BBA" w:rsidRDefault="006F2584" w:rsidP="006F2584">
            <w:r w:rsidRPr="00104BBA">
              <w:t>ИС «Тендеры» (</w:t>
            </w:r>
            <w:hyperlink r:id="rId10" w:history="1">
              <w:r w:rsidRPr="00104BBA">
                <w:rPr>
                  <w:rStyle w:val="af"/>
                </w:rPr>
                <w:t>http://www.icetrade.by</w:t>
              </w:r>
            </w:hyperlink>
            <w:r w:rsidRPr="00104BBA">
              <w:t>) ИРУП «Национального центра маркетинга и конъюнктуры цен»</w:t>
            </w:r>
          </w:p>
        </w:tc>
      </w:tr>
      <w:tr w:rsidR="00104BBA" w:rsidRPr="00104BBA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1E46F8" w:rsidRPr="00104BBA" w:rsidRDefault="00090BA6" w:rsidP="001E46F8">
            <w:r>
              <w:t>22</w:t>
            </w:r>
            <w:r w:rsidR="00C41C62">
              <w:t>_ГТБеларусь-4.3-1213/</w:t>
            </w:r>
            <w:r w:rsidR="00E04F4C">
              <w:t>5-0013</w:t>
            </w:r>
            <w:r w:rsidR="001E46F8" w:rsidRPr="00104BBA">
              <w:t xml:space="preserve"> (№</w:t>
            </w:r>
            <w:r w:rsidR="00E04F4C">
              <w:t>1000973247</w:t>
            </w:r>
            <w:r w:rsidR="001E46F8" w:rsidRPr="00104BBA">
              <w:t>)</w:t>
            </w:r>
          </w:p>
          <w:p w:rsidR="00F610E0" w:rsidRPr="00104BBA" w:rsidRDefault="001E46F8" w:rsidP="001E46F8">
            <w:r w:rsidRPr="00104BBA">
              <w:t xml:space="preserve">(номер закупки в Плане Группы Газпром </w:t>
            </w:r>
            <w:r w:rsidR="00E04F4C">
              <w:t>21/4.3/0014495</w:t>
            </w:r>
            <w:r w:rsidR="00090BA6">
              <w:t>/</w:t>
            </w:r>
            <w:r w:rsidR="0022445E" w:rsidRPr="0022445E">
              <w:t>ГТБ</w:t>
            </w:r>
            <w:r w:rsidRPr="00104BBA">
              <w:t>)</w:t>
            </w:r>
          </w:p>
        </w:tc>
      </w:tr>
      <w:tr w:rsidR="00104BBA" w:rsidRPr="00104BBA" w:rsidTr="00E3751C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1E46F8" w:rsidP="0022445E">
            <w:pPr>
              <w:rPr>
                <w:bCs/>
              </w:rPr>
            </w:pPr>
            <w:r w:rsidRPr="00104BBA">
              <w:t xml:space="preserve">Поставка </w:t>
            </w:r>
            <w:r w:rsidR="00E04F4C">
              <w:t>средств дезинфицирующих</w:t>
            </w:r>
            <w:r w:rsidRPr="00104BBA">
              <w:t xml:space="preserve"> </w:t>
            </w:r>
            <w:r w:rsidR="006F2584" w:rsidRPr="00104BBA">
              <w:t xml:space="preserve">для нужд ОАО «Газпром </w:t>
            </w:r>
            <w:proofErr w:type="spellStart"/>
            <w:r w:rsidR="006F2584" w:rsidRPr="00104BBA">
              <w:t>трансгаз</w:t>
            </w:r>
            <w:proofErr w:type="spellEnd"/>
            <w:r w:rsidR="006F2584" w:rsidRPr="00104BBA">
              <w:t xml:space="preserve"> Беларусь» в 20</w:t>
            </w:r>
            <w:r w:rsidRPr="00104BBA">
              <w:t>22</w:t>
            </w:r>
            <w:r w:rsidR="006F2584" w:rsidRPr="00104BBA">
              <w:t xml:space="preserve"> году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 Приложением 2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Поставка товаров в соответствии с Приложением 2.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Условия оплаты: 100% от стоимости продукции по факту поставки продукции в течение 15 (пятнадцати) рабочих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</w:t>
            </w:r>
            <w:proofErr w:type="spellStart"/>
            <w:r w:rsidRPr="00104BBA">
              <w:t>УМТСиК</w:t>
            </w:r>
            <w:proofErr w:type="spellEnd"/>
            <w:r w:rsidRPr="00104BBA">
              <w:t xml:space="preserve"> УМГ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Беларусь», д. Дубовый Лес, Минский район, Минская область, Республика Беларусь;</w:t>
            </w:r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6F2584" w:rsidRPr="00104BBA" w:rsidRDefault="006F2584" w:rsidP="0022445E">
            <w:pPr>
              <w:ind w:left="6"/>
            </w:pPr>
            <w:r w:rsidRPr="00104BBA">
              <w:t xml:space="preserve">Предполагаемый срок поставки: </w:t>
            </w:r>
            <w:r w:rsidR="00E04F4C">
              <w:t>март-ию</w:t>
            </w:r>
            <w:r w:rsidR="00B65DDA">
              <w:t>ль</w:t>
            </w:r>
            <w:r w:rsidR="00673952">
              <w:t xml:space="preserve"> 2022 года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маркетинговых исследований (заявки, коммерческого предложения и договора)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104BBA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90BA6" w:rsidRDefault="00E04F4C" w:rsidP="006F2584">
            <w:r>
              <w:t>175 980,00 бел. руб. (5 252 017,51</w:t>
            </w:r>
            <w:r w:rsidR="00673952">
              <w:t xml:space="preserve"> росс. руб.</w:t>
            </w:r>
            <w:r>
              <w:t>)</w:t>
            </w:r>
            <w:r w:rsidR="00673952">
              <w:t xml:space="preserve"> </w:t>
            </w:r>
            <w:r w:rsidR="00090BA6">
              <w:t>без НДС,</w:t>
            </w:r>
          </w:p>
          <w:p w:rsidR="006F2584" w:rsidRPr="00104BBA" w:rsidRDefault="00E04F4C" w:rsidP="006F2584">
            <w:r>
              <w:t>211 176,00 бел. руб. (6 302 421,01</w:t>
            </w:r>
            <w:r w:rsidR="0022445E">
              <w:t xml:space="preserve"> </w:t>
            </w:r>
            <w:r w:rsidR="001351A1">
              <w:t>росс. руб.</w:t>
            </w:r>
            <w:r>
              <w:t>)</w:t>
            </w:r>
            <w:r w:rsidR="001351A1">
              <w:t xml:space="preserve"> с НДС-20%</w:t>
            </w:r>
            <w:r w:rsidR="006F2584" w:rsidRPr="00104BBA">
              <w:t>.</w:t>
            </w:r>
          </w:p>
          <w:p w:rsidR="006F2584" w:rsidRPr="00673952" w:rsidRDefault="00133BEB" w:rsidP="00673952">
            <w:pPr>
              <w:jc w:val="both"/>
              <w:rPr>
                <w:u w:val="single"/>
              </w:rPr>
            </w:pPr>
            <w:r w:rsidRPr="00104BBA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:rsidR="006F2584" w:rsidRPr="00104BBA" w:rsidRDefault="006F2584" w:rsidP="006F2584">
            <w:r w:rsidRPr="00104BBA">
              <w:t>Сведения о НМЦ по каждой позиции приведены в Приложении 2 «Техническое задание».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104BBA" w:rsidRPr="00104BBA" w:rsidTr="00E3751C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6F2584" w:rsidP="000236C9">
            <w:r w:rsidRPr="00104BBA">
              <w:t xml:space="preserve">с </w:t>
            </w:r>
            <w:r w:rsidR="00820A47">
              <w:t>18</w:t>
            </w:r>
            <w:r w:rsidRPr="00104BBA">
              <w:t>.</w:t>
            </w:r>
            <w:r w:rsidR="00B77935">
              <w:t>0</w:t>
            </w:r>
            <w:r w:rsidR="00090BA6">
              <w:t>2</w:t>
            </w:r>
            <w:r w:rsidRPr="00104BBA">
              <w:t>.20</w:t>
            </w:r>
            <w:r w:rsidR="00820A47">
              <w:t>22 до 09.03</w:t>
            </w:r>
            <w:r w:rsidRPr="00104BBA">
              <w:t>.20</w:t>
            </w:r>
            <w:r w:rsidR="00090BA6">
              <w:t>22</w:t>
            </w:r>
            <w:r w:rsidRPr="00104BBA">
              <w:t>г. 14 ч. 00 мин.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 xml:space="preserve"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</w:t>
            </w:r>
            <w:r w:rsidRPr="00104BBA">
              <w:lastRenderedPageBreak/>
              <w:t>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820A47" w:rsidP="006F2584">
            <w:r>
              <w:t>09.03</w:t>
            </w:r>
            <w:r w:rsidR="006F2584" w:rsidRPr="00104BBA">
              <w:t>.202</w:t>
            </w:r>
            <w:r w:rsidR="00090BA6">
              <w:t>2</w:t>
            </w:r>
            <w:r w:rsidR="006F2584" w:rsidRPr="00104BBA">
              <w:t>, 14</w:t>
            </w:r>
            <w:r w:rsidR="00673952">
              <w:t xml:space="preserve"> ч. 3</w:t>
            </w:r>
            <w:r w:rsidR="006F2584" w:rsidRPr="00104BBA">
              <w:t>0 мин.</w:t>
            </w:r>
          </w:p>
          <w:p w:rsidR="006F2584" w:rsidRPr="00104BBA" w:rsidRDefault="006F2584" w:rsidP="00F169BD">
            <w:r w:rsidRPr="00104BBA">
              <w:t xml:space="preserve">по месту нахождения Организатора по адресу: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835A76">
            <w:r w:rsidRPr="00104BBA">
              <w:t xml:space="preserve">с </w:t>
            </w:r>
            <w:r w:rsidR="00820A47">
              <w:t>09.03</w:t>
            </w:r>
            <w:r w:rsidRPr="00104BBA">
              <w:t>.20</w:t>
            </w:r>
            <w:r w:rsidR="00090BA6">
              <w:t>22</w:t>
            </w:r>
            <w:r w:rsidRPr="00104BBA">
              <w:t xml:space="preserve"> по </w:t>
            </w:r>
            <w:r w:rsidR="00820A47">
              <w:t>15</w:t>
            </w:r>
            <w:r w:rsidR="00D15AFF">
              <w:t>.03</w:t>
            </w:r>
            <w:r w:rsidRPr="00104BBA">
              <w:t>.202</w:t>
            </w:r>
            <w:r w:rsidR="00090BA6">
              <w:t>2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Срок подачи заявки (коммерческого предложения) в соответствии с </w:t>
            </w:r>
            <w:r w:rsidR="00C41C62">
              <w:t xml:space="preserve">п. 2.4.5 </w:t>
            </w:r>
            <w:r w:rsidRPr="00104BBA">
              <w:t>Документаци</w:t>
            </w:r>
            <w:r w:rsidR="00C41C62">
              <w:t>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C41C62" w:rsidP="00835A76">
            <w:r>
              <w:t xml:space="preserve">не позднее 14 ч. </w:t>
            </w:r>
            <w:r w:rsidR="00820A47">
              <w:t>00 мин. 14</w:t>
            </w:r>
            <w:r w:rsidR="00D15AFF">
              <w:t>.03</w:t>
            </w:r>
            <w:r w:rsidR="006F2584" w:rsidRPr="00104BBA">
              <w:t>.20</w:t>
            </w:r>
            <w:r w:rsidR="00090BA6">
              <w:t>22</w:t>
            </w:r>
            <w:r w:rsidR="006F2584" w:rsidRPr="00104BBA">
              <w:t>г.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820A47" w:rsidP="006F2584">
            <w:r>
              <w:t>Не позднее 15</w:t>
            </w:r>
            <w:r w:rsidR="00D15AFF">
              <w:t>.03</w:t>
            </w:r>
            <w:r w:rsidR="006F2584" w:rsidRPr="00104BBA">
              <w:t>.202</w:t>
            </w:r>
            <w:r w:rsidR="00090BA6">
              <w:t>2</w:t>
            </w:r>
          </w:p>
        </w:tc>
      </w:tr>
      <w:tr w:rsidR="00104BBA" w:rsidRPr="00104BBA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610F8">
            <w:r w:rsidRPr="00104BBA">
              <w:t xml:space="preserve">с </w:t>
            </w:r>
            <w:r w:rsidR="00820A47">
              <w:t>18</w:t>
            </w:r>
            <w:r w:rsidRPr="00104BBA">
              <w:t>.</w:t>
            </w:r>
            <w:r w:rsidR="00B77935">
              <w:t>0</w:t>
            </w:r>
            <w:r w:rsidR="00090BA6">
              <w:t>2.2022</w:t>
            </w:r>
            <w:r w:rsidRPr="00104BBA">
              <w:t xml:space="preserve"> до </w:t>
            </w:r>
            <w:r w:rsidR="00820A47">
              <w:t>09.03</w:t>
            </w:r>
            <w:r w:rsidRPr="00104BBA">
              <w:t>.20</w:t>
            </w:r>
            <w:r w:rsidR="00090BA6">
              <w:t>22</w:t>
            </w:r>
            <w:r w:rsidRPr="00104BBA">
              <w:t>г.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д. 4, комн. 17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F525A3" w:rsidP="006F2584">
            <w:hyperlink r:id="rId11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F525A3" w:rsidP="006F2584">
            <w:hyperlink r:id="rId12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1</w:t>
            </w:r>
            <w:r w:rsidR="006F2584" w:rsidRPr="00104BBA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104BBA" w:rsidRDefault="00593C96" w:rsidP="006F2584">
            <w:r w:rsidRPr="00104BBA">
              <w:t>2</w:t>
            </w:r>
            <w:r w:rsidR="006F2584" w:rsidRPr="00104BBA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DE4D98" w:rsidRDefault="00593C96" w:rsidP="006F2584">
            <w:r w:rsidRPr="00104BBA">
              <w:t>3</w:t>
            </w:r>
            <w:r w:rsidR="006F2584" w:rsidRPr="00104BBA">
              <w:t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  <w:p w:rsidR="00B93B1C" w:rsidRPr="00104BBA" w:rsidRDefault="00B93B1C" w:rsidP="006F2584"/>
        </w:tc>
      </w:tr>
      <w:tr w:rsidR="00104BBA" w:rsidRPr="00104BBA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lastRenderedPageBreak/>
              <w:t>10. Обеспечения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104BBA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Default="00E15171" w:rsidP="00E15171">
            <w:r>
              <w:t xml:space="preserve">При закупке отдельных категорий товаров (работ, услуг) </w:t>
            </w:r>
          </w:p>
          <w:p w:rsidR="00E15171" w:rsidRDefault="00E15171" w:rsidP="00E15171">
            <w:r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Default="00E15171" w:rsidP="00E15171">
            <w:r>
              <w:t xml:space="preserve">Критерии выбора договоров, подлежащих банковскому </w:t>
            </w:r>
          </w:p>
          <w:p w:rsidR="00E1093F" w:rsidRPr="00104BBA" w:rsidRDefault="00E15171" w:rsidP="00E15171">
            <w:r>
              <w:t>сопровождению представлены в Приложении 4 Документации.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 xml:space="preserve"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104BBA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104BBA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i/>
              </w:rPr>
            </w:pPr>
          </w:p>
        </w:tc>
      </w:tr>
      <w:tr w:rsidR="00104BBA" w:rsidRPr="00104BBA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104BBA">
              <w:rPr>
                <w:bCs/>
              </w:rPr>
              <w:t>12</w:t>
            </w:r>
            <w:bookmarkEnd w:id="50"/>
            <w:r w:rsidRPr="00104BBA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t>2. Коммерческое предложение.</w:t>
            </w:r>
          </w:p>
          <w:p w:rsidR="006F2584" w:rsidRPr="00104BBA" w:rsidRDefault="006F2584" w:rsidP="006F2584">
            <w:r w:rsidRPr="00104BBA">
              <w:t>3. Техническое предложение.</w:t>
            </w:r>
          </w:p>
          <w:p w:rsidR="00E1093F" w:rsidRPr="00104BBA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E1093F" w:rsidRPr="00104BBA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6F2584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Дата начала: «</w:t>
            </w:r>
            <w:r w:rsidR="00820A47">
              <w:t>18</w:t>
            </w:r>
            <w:r w:rsidRPr="00104BBA">
              <w:t>»</w:t>
            </w:r>
            <w:r w:rsidR="00090BA6">
              <w:t xml:space="preserve"> феврал</w:t>
            </w:r>
            <w:r w:rsidR="00C41C62">
              <w:t>я</w:t>
            </w:r>
            <w:r w:rsidRPr="00104BBA">
              <w:t xml:space="preserve"> 202</w:t>
            </w:r>
            <w:r w:rsidR="00090BA6">
              <w:t>2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6F2584" w:rsidP="00A610F8">
            <w:r w:rsidRPr="00104BBA">
              <w:t>Дата окончания: «</w:t>
            </w:r>
            <w:r w:rsidR="00820A47">
              <w:t>01</w:t>
            </w:r>
            <w:r w:rsidRPr="00104BBA">
              <w:t xml:space="preserve">» </w:t>
            </w:r>
            <w:r w:rsidR="00820A47">
              <w:t>марта</w:t>
            </w:r>
            <w:bookmarkStart w:id="60" w:name="_GoBack"/>
            <w:bookmarkEnd w:id="60"/>
            <w:r w:rsidR="00947036" w:rsidRPr="00104BBA">
              <w:t xml:space="preserve"> </w:t>
            </w:r>
            <w:r w:rsidRPr="00104BBA">
              <w:t>202</w:t>
            </w:r>
            <w:r w:rsidR="00090BA6">
              <w:t>2</w:t>
            </w:r>
            <w:r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Pr="00104BBA" w:rsidRDefault="008D68F9" w:rsidP="00784798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Default="008D68F9" w:rsidP="00784798">
      <w:pPr>
        <w:pStyle w:val="2e"/>
        <w:spacing w:after="0"/>
      </w:pPr>
    </w:p>
    <w:p w:rsidR="008D68F9" w:rsidRPr="00104BBA" w:rsidRDefault="008D68F9" w:rsidP="00673952">
      <w:pPr>
        <w:pStyle w:val="2e"/>
        <w:spacing w:after="0"/>
        <w:ind w:left="0"/>
      </w:pPr>
    </w:p>
    <w:p w:rsidR="00852EE3" w:rsidRPr="00104BBA" w:rsidRDefault="00B77A47" w:rsidP="00F169BD">
      <w:pPr>
        <w:pStyle w:val="2e"/>
        <w:spacing w:after="0"/>
        <w:ind w:left="0"/>
      </w:pPr>
      <w:r>
        <w:t>Н</w:t>
      </w:r>
      <w:r w:rsidR="008D68F9" w:rsidRPr="00104BBA">
        <w:t xml:space="preserve">ачальник филиала </w:t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proofErr w:type="spellStart"/>
      <w:r w:rsidR="00FA5AA7" w:rsidRPr="00104BBA">
        <w:t>А.В.</w:t>
      </w:r>
      <w:r>
        <w:t>Максимен</w:t>
      </w:r>
      <w:r w:rsidR="00F169BD" w:rsidRPr="00104BBA">
        <w:t>ко</w:t>
      </w:r>
      <w:proofErr w:type="spellEnd"/>
    </w:p>
    <w:sectPr w:rsidR="00852EE3" w:rsidRPr="00104BBA" w:rsidSect="00233FEB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5A3" w:rsidRDefault="00F525A3">
      <w:r>
        <w:separator/>
      </w:r>
    </w:p>
  </w:endnote>
  <w:endnote w:type="continuationSeparator" w:id="0">
    <w:p w:rsidR="00F525A3" w:rsidRDefault="00F525A3">
      <w:r>
        <w:continuationSeparator/>
      </w:r>
    </w:p>
  </w:endnote>
  <w:endnote w:type="continuationNotice" w:id="1">
    <w:p w:rsidR="00F525A3" w:rsidRDefault="00F525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820A47" w:rsidRPr="00820A47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5A3" w:rsidRDefault="00F525A3">
      <w:r>
        <w:separator/>
      </w:r>
    </w:p>
  </w:footnote>
  <w:footnote w:type="continuationSeparator" w:id="0">
    <w:p w:rsidR="00F525A3" w:rsidRDefault="00F525A3">
      <w:r>
        <w:continuationSeparator/>
      </w:r>
    </w:p>
  </w:footnote>
  <w:footnote w:type="continuationNotice" w:id="1">
    <w:p w:rsidR="00F525A3" w:rsidRDefault="00F525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F7" w:rsidRDefault="00F610E0" w:rsidP="008B1FF7">
    <w:pPr>
      <w:jc w:val="right"/>
      <w:rPr>
        <w:i/>
      </w:rPr>
    </w:pPr>
    <w:r w:rsidRPr="00697EB7">
      <w:rPr>
        <w:i/>
      </w:rPr>
      <w:t xml:space="preserve">к Документации о маркетинговых исследованиях </w:t>
    </w:r>
    <w:r w:rsidR="008B1FF7" w:rsidRPr="003B65A7">
      <w:rPr>
        <w:i/>
      </w:rPr>
      <w:t xml:space="preserve">№ </w:t>
    </w:r>
    <w:r w:rsidR="00E04F4C">
      <w:rPr>
        <w:i/>
      </w:rPr>
      <w:t>22_ГТБеларусь-4.3-1213/5-0013 (№1000973247</w:t>
    </w:r>
    <w:r w:rsidR="0022445E" w:rsidRPr="0022445E">
      <w:rPr>
        <w:i/>
      </w:rPr>
      <w:t>)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6C9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6FD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3F4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944"/>
    <w:rsid w:val="00090679"/>
    <w:rsid w:val="00090BA6"/>
    <w:rsid w:val="000926D9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104F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1A1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6F8"/>
    <w:rsid w:val="001E4CF2"/>
    <w:rsid w:val="001E4F3C"/>
    <w:rsid w:val="001E5D22"/>
    <w:rsid w:val="001E6F47"/>
    <w:rsid w:val="001E7281"/>
    <w:rsid w:val="001E7F8B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45E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3ABE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38A7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117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28B0"/>
    <w:rsid w:val="003E2E56"/>
    <w:rsid w:val="003E2F8E"/>
    <w:rsid w:val="003E3391"/>
    <w:rsid w:val="003E37D4"/>
    <w:rsid w:val="003E453F"/>
    <w:rsid w:val="003E4A1C"/>
    <w:rsid w:val="003E4C2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17A7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15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0474"/>
    <w:rsid w:val="00481A06"/>
    <w:rsid w:val="00483F5F"/>
    <w:rsid w:val="004845D6"/>
    <w:rsid w:val="004846E1"/>
    <w:rsid w:val="00484763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324"/>
    <w:rsid w:val="004914C4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A0E"/>
    <w:rsid w:val="004C3BCC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156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50F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952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BDD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5DB0"/>
    <w:rsid w:val="007968F8"/>
    <w:rsid w:val="00797284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A47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BF6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0F8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DDA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935"/>
    <w:rsid w:val="00B77A47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3B1C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62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AFF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5ADC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BA6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E7B"/>
    <w:rsid w:val="00DE660A"/>
    <w:rsid w:val="00DE6B33"/>
    <w:rsid w:val="00DE6FD9"/>
    <w:rsid w:val="00DE749F"/>
    <w:rsid w:val="00DE78BB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F4C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51C"/>
    <w:rsid w:val="00E37840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29A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546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5A3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128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222D"/>
    <w:rsid w:val="00F626AA"/>
    <w:rsid w:val="00F62950"/>
    <w:rsid w:val="00F62CC9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1E893B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tb.b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690C9-6314-4149-98B1-375FC918B7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CF3D0B-67A3-490C-A357-67ABEEEEE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1881</Words>
  <Characters>10725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12581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44</cp:revision>
  <cp:lastPrinted>2022-02-16T10:41:00Z</cp:lastPrinted>
  <dcterms:created xsi:type="dcterms:W3CDTF">2021-07-01T11:49:00Z</dcterms:created>
  <dcterms:modified xsi:type="dcterms:W3CDTF">2022-02-16T10:41:00Z</dcterms:modified>
</cp:coreProperties>
</file>